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2292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</w:t>
      </w:r>
    </w:p>
    <w:p w14:paraId="7EE041B2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455254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746CB6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E963B9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</w:t>
      </w:r>
    </w:p>
    <w:p w14:paraId="54BC55D5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</w:t>
      </w:r>
    </w:p>
    <w:p w14:paraId="1FEE24B9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038063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7610BC4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2EDFEAF" w14:textId="3A87BC7E" w:rsidR="00DC4887" w:rsidRPr="00786576" w:rsidRDefault="00DC4887" w:rsidP="003D253A">
      <w:pPr>
        <w:jc w:val="center"/>
        <w:rPr>
          <w:rFonts w:ascii="Times New Roman" w:hAnsi="Times New Roman" w:cs="Times New Roman"/>
          <w:sz w:val="32"/>
          <w:szCs w:val="32"/>
          <w:lang w:val="bs-Latn-BA"/>
        </w:rPr>
      </w:pPr>
      <w:r w:rsidRPr="00786576">
        <w:rPr>
          <w:rFonts w:ascii="Times New Roman" w:hAnsi="Times New Roman" w:cs="Times New Roman"/>
          <w:sz w:val="32"/>
          <w:szCs w:val="32"/>
          <w:lang w:val="bs-Latn-BA"/>
        </w:rPr>
        <w:t>PRIJEDLOG FINANSIJSKOG PLANA-</w:t>
      </w:r>
    </w:p>
    <w:p w14:paraId="5F506015" w14:textId="024C08AB" w:rsidR="00DC4887" w:rsidRPr="00786576" w:rsidRDefault="00DC4887" w:rsidP="00F572BC">
      <w:pPr>
        <w:jc w:val="center"/>
        <w:rPr>
          <w:rFonts w:ascii="Times New Roman" w:hAnsi="Times New Roman" w:cs="Times New Roman"/>
          <w:sz w:val="32"/>
          <w:szCs w:val="32"/>
          <w:lang w:val="bs-Latn-BA"/>
        </w:rPr>
      </w:pPr>
      <w:r w:rsidRPr="00786576">
        <w:rPr>
          <w:rFonts w:ascii="Times New Roman" w:hAnsi="Times New Roman" w:cs="Times New Roman"/>
          <w:sz w:val="32"/>
          <w:szCs w:val="32"/>
          <w:lang w:val="bs-Latn-BA"/>
        </w:rPr>
        <w:t xml:space="preserve">BUDŽETA </w:t>
      </w:r>
      <w:proofErr w:type="spellStart"/>
      <w:r w:rsidRPr="00786576">
        <w:rPr>
          <w:rFonts w:ascii="Times New Roman" w:hAnsi="Times New Roman" w:cs="Times New Roman"/>
          <w:sz w:val="32"/>
          <w:szCs w:val="32"/>
          <w:lang w:val="bs-Latn-BA"/>
        </w:rPr>
        <w:t>FERK-</w:t>
      </w:r>
      <w:r w:rsidR="009529D4" w:rsidRPr="00786576">
        <w:rPr>
          <w:rFonts w:ascii="Times New Roman" w:hAnsi="Times New Roman" w:cs="Times New Roman"/>
          <w:sz w:val="32"/>
          <w:szCs w:val="32"/>
          <w:lang w:val="bs-Latn-BA"/>
        </w:rPr>
        <w:t>a</w:t>
      </w:r>
      <w:proofErr w:type="spellEnd"/>
      <w:r w:rsidR="00F572BC" w:rsidRPr="00786576">
        <w:rPr>
          <w:rFonts w:ascii="Times New Roman" w:hAnsi="Times New Roman" w:cs="Times New Roman"/>
          <w:sz w:val="32"/>
          <w:szCs w:val="32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32"/>
          <w:szCs w:val="32"/>
          <w:lang w:val="bs-Latn-BA"/>
        </w:rPr>
        <w:t>ZA 202</w:t>
      </w:r>
      <w:r w:rsidR="00AE5A35" w:rsidRPr="00786576">
        <w:rPr>
          <w:rFonts w:ascii="Times New Roman" w:hAnsi="Times New Roman" w:cs="Times New Roman"/>
          <w:sz w:val="32"/>
          <w:szCs w:val="32"/>
          <w:lang w:val="bs-Latn-BA"/>
        </w:rPr>
        <w:t>2</w:t>
      </w:r>
      <w:r w:rsidRPr="00786576">
        <w:rPr>
          <w:rFonts w:ascii="Times New Roman" w:hAnsi="Times New Roman" w:cs="Times New Roman"/>
          <w:sz w:val="32"/>
          <w:szCs w:val="32"/>
          <w:lang w:val="bs-Latn-BA"/>
        </w:rPr>
        <w:t>. GODINU</w:t>
      </w:r>
    </w:p>
    <w:p w14:paraId="2982DDAC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7ED35F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7FACB7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11D413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01D6CF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99AB157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925768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3013EA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78B766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C209128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6D81D8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1B4544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3CF6AD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6D034CD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8649CD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CA398E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70ECEA2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E19F2B8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4815CD3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D2FEB8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D33636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D36918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D738F64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A973B5" w14:textId="77777777" w:rsidR="00FD43EF" w:rsidRPr="00786576" w:rsidRDefault="00FD43E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7C88D0A" w14:textId="77777777" w:rsidR="00FD43EF" w:rsidRPr="00786576" w:rsidRDefault="00FD43E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D7B1DF" w14:textId="77777777" w:rsidR="00FD43EF" w:rsidRPr="00786576" w:rsidRDefault="00FD43E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EF424F" w14:textId="1842156D" w:rsidR="00DC4887" w:rsidRPr="00786576" w:rsidRDefault="00DC4887" w:rsidP="003D253A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786576">
        <w:rPr>
          <w:rFonts w:ascii="Times New Roman" w:hAnsi="Times New Roman" w:cs="Times New Roman"/>
          <w:sz w:val="28"/>
          <w:szCs w:val="28"/>
          <w:lang w:val="bs-Latn-BA"/>
        </w:rPr>
        <w:t>SADRŽAJ</w:t>
      </w:r>
    </w:p>
    <w:p w14:paraId="06D52A21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BDD76E" w14:textId="5C653B9C" w:rsidR="00DC4887" w:rsidRPr="00786576" w:rsidRDefault="00DC4887" w:rsidP="00F62E7B">
      <w:pPr>
        <w:pStyle w:val="TOC1"/>
        <w:rPr>
          <w:noProof/>
          <w:lang w:val="bs-Latn-BA" w:eastAsia="bs-Latn-BA"/>
        </w:rPr>
      </w:pPr>
      <w:r w:rsidRPr="00786576">
        <w:rPr>
          <w:bCs/>
          <w:noProof/>
          <w:lang w:val="bs-Latn-BA"/>
        </w:rPr>
        <w:fldChar w:fldCharType="begin"/>
      </w:r>
      <w:r w:rsidRPr="00786576">
        <w:rPr>
          <w:bCs/>
          <w:noProof/>
          <w:lang w:val="bs-Latn-BA"/>
        </w:rPr>
        <w:instrText xml:space="preserve"> TOC \o "1-3" \h \z \u </w:instrText>
      </w:r>
      <w:r w:rsidRPr="00786576">
        <w:rPr>
          <w:bCs/>
          <w:noProof/>
          <w:lang w:val="bs-Latn-BA"/>
        </w:rPr>
        <w:fldChar w:fldCharType="separate"/>
      </w:r>
      <w:hyperlink w:anchor="_Toc25139532" w:history="1">
        <w:r w:rsidRPr="00786576">
          <w:rPr>
            <w:rStyle w:val="Hyperlink"/>
            <w:noProof/>
            <w:szCs w:val="24"/>
            <w:lang w:val="bs-Latn-BA"/>
          </w:rPr>
          <w:t>1. Plan rashoda</w:t>
        </w:r>
        <w:r w:rsidRPr="00786576">
          <w:rPr>
            <w:noProof/>
            <w:webHidden/>
            <w:lang w:val="bs-Latn-BA"/>
          </w:rPr>
          <w:tab/>
        </w:r>
        <w:r w:rsidRPr="00786576">
          <w:rPr>
            <w:noProof/>
            <w:webHidden/>
            <w:lang w:val="bs-Latn-BA"/>
          </w:rPr>
          <w:fldChar w:fldCharType="begin"/>
        </w:r>
        <w:r w:rsidRPr="00786576">
          <w:rPr>
            <w:noProof/>
            <w:webHidden/>
            <w:lang w:val="bs-Latn-BA"/>
          </w:rPr>
          <w:instrText xml:space="preserve"> PAGEREF _Toc25139532 \h </w:instrText>
        </w:r>
        <w:r w:rsidRPr="00786576">
          <w:rPr>
            <w:noProof/>
            <w:webHidden/>
            <w:lang w:val="bs-Latn-BA"/>
          </w:rPr>
        </w:r>
        <w:r w:rsidRPr="00786576">
          <w:rPr>
            <w:noProof/>
            <w:webHidden/>
            <w:lang w:val="bs-Latn-BA"/>
          </w:rPr>
          <w:fldChar w:fldCharType="separate"/>
        </w:r>
        <w:r w:rsidR="00783932" w:rsidRPr="00786576">
          <w:rPr>
            <w:noProof/>
            <w:webHidden/>
            <w:lang w:val="bs-Latn-BA"/>
          </w:rPr>
          <w:t>4</w:t>
        </w:r>
        <w:r w:rsidRPr="00786576">
          <w:rPr>
            <w:noProof/>
            <w:webHidden/>
            <w:lang w:val="bs-Latn-BA"/>
          </w:rPr>
          <w:fldChar w:fldCharType="end"/>
        </w:r>
      </w:hyperlink>
    </w:p>
    <w:p w14:paraId="1FFE6D95" w14:textId="77777777" w:rsidR="00DC4887" w:rsidRPr="00786576" w:rsidRDefault="00DC4887" w:rsidP="00DC4887">
      <w:pPr>
        <w:pStyle w:val="TOC2"/>
        <w:tabs>
          <w:tab w:val="right" w:leader="dot" w:pos="8875"/>
        </w:tabs>
        <w:rPr>
          <w:rStyle w:val="Hyperlink"/>
          <w:noProof/>
          <w:szCs w:val="24"/>
          <w:lang w:val="bs-Latn-BA"/>
        </w:rPr>
      </w:pPr>
    </w:p>
    <w:p w14:paraId="7EBE9FB4" w14:textId="779EA5F9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3" w:history="1">
        <w:r w:rsidR="00781E13" w:rsidRPr="00786576">
          <w:rPr>
            <w:rStyle w:val="Hyperlink"/>
            <w:noProof/>
            <w:szCs w:val="24"/>
            <w:lang w:val="bs-Latn-BA"/>
          </w:rPr>
          <w:t>1.1.     Bruto plate i naknade zaposlenima</w:t>
        </w:r>
        <w:r w:rsidR="00781E13" w:rsidRPr="00786576">
          <w:rPr>
            <w:noProof/>
            <w:webHidden/>
            <w:szCs w:val="24"/>
            <w:lang w:val="bs-Latn-BA"/>
          </w:rPr>
          <w:tab/>
          <w:t>5</w:t>
        </w:r>
      </w:hyperlink>
    </w:p>
    <w:p w14:paraId="7201AD88" w14:textId="1C5248C8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4" w:history="1">
        <w:r w:rsidR="00781E13" w:rsidRPr="00786576">
          <w:rPr>
            <w:rStyle w:val="Hyperlink"/>
            <w:noProof/>
            <w:szCs w:val="24"/>
            <w:lang w:val="bs-Latn-BA"/>
          </w:rPr>
          <w:t>1.2.     Naknade troškova zaposlenih</w:t>
        </w:r>
        <w:r w:rsidR="00781E13" w:rsidRPr="00786576">
          <w:rPr>
            <w:noProof/>
            <w:webHidden/>
            <w:szCs w:val="24"/>
            <w:lang w:val="bs-Latn-BA"/>
          </w:rPr>
          <w:tab/>
          <w:t>5</w:t>
        </w:r>
      </w:hyperlink>
    </w:p>
    <w:p w14:paraId="456B1F09" w14:textId="2DA79B00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5" w:history="1">
        <w:r w:rsidR="00781E13" w:rsidRPr="00786576">
          <w:rPr>
            <w:rStyle w:val="Hyperlink"/>
            <w:noProof/>
            <w:szCs w:val="24"/>
            <w:lang w:val="bs-Latn-BA"/>
          </w:rPr>
          <w:t>1.3.     Doprinosi poslodavca</w:t>
        </w:r>
        <w:r w:rsidR="00781E13" w:rsidRPr="00786576">
          <w:rPr>
            <w:noProof/>
            <w:webHidden/>
            <w:szCs w:val="24"/>
            <w:lang w:val="bs-Latn-BA"/>
          </w:rPr>
          <w:tab/>
        </w:r>
        <w:r w:rsidR="00783932" w:rsidRPr="00786576">
          <w:rPr>
            <w:noProof/>
            <w:webHidden/>
            <w:szCs w:val="24"/>
            <w:lang w:val="bs-Latn-BA"/>
          </w:rPr>
          <w:t>5</w:t>
        </w:r>
      </w:hyperlink>
    </w:p>
    <w:p w14:paraId="39927403" w14:textId="1074C488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6" w:history="1">
        <w:r w:rsidR="00781E13" w:rsidRPr="00786576">
          <w:rPr>
            <w:rStyle w:val="Hyperlink"/>
            <w:noProof/>
            <w:szCs w:val="24"/>
            <w:lang w:val="bs-Latn-BA"/>
          </w:rPr>
          <w:t>1.4.     Izdaci za materijal i usluge</w:t>
        </w:r>
        <w:r w:rsidR="00781E13" w:rsidRPr="00786576">
          <w:rPr>
            <w:noProof/>
            <w:webHidden/>
            <w:szCs w:val="24"/>
            <w:lang w:val="bs-Latn-BA"/>
          </w:rPr>
          <w:tab/>
        </w:r>
        <w:r w:rsidR="00783932" w:rsidRPr="00786576">
          <w:rPr>
            <w:noProof/>
            <w:webHidden/>
            <w:szCs w:val="24"/>
            <w:lang w:val="bs-Latn-BA"/>
          </w:rPr>
          <w:t>5</w:t>
        </w:r>
      </w:hyperlink>
    </w:p>
    <w:p w14:paraId="42796577" w14:textId="77777777" w:rsidR="00DC4887" w:rsidRPr="00786576" w:rsidRDefault="00DC4887" w:rsidP="00DC4887">
      <w:pPr>
        <w:pStyle w:val="TOC3"/>
        <w:tabs>
          <w:tab w:val="right" w:leader="dot" w:pos="8875"/>
        </w:tabs>
        <w:rPr>
          <w:rStyle w:val="Hyperlink"/>
          <w:noProof/>
          <w:szCs w:val="24"/>
          <w:lang w:val="bs-Latn-BA"/>
        </w:rPr>
      </w:pPr>
    </w:p>
    <w:p w14:paraId="46365FEB" w14:textId="473E22F2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7" w:history="1">
        <w:r w:rsidR="00781E13" w:rsidRPr="00786576">
          <w:rPr>
            <w:rStyle w:val="Hyperlink"/>
            <w:noProof/>
            <w:szCs w:val="24"/>
            <w:lang w:val="bs-Latn-BA"/>
          </w:rPr>
          <w:t>1.4.1.  Putni troškovi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2F0AA479" w14:textId="35CF7522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8" w:history="1">
        <w:r w:rsidR="00781E13" w:rsidRPr="00786576">
          <w:rPr>
            <w:rStyle w:val="Hyperlink"/>
            <w:noProof/>
            <w:szCs w:val="24"/>
            <w:lang w:val="bs-Latn-BA"/>
          </w:rPr>
          <w:t>1.4.2.  Izdaci za energiju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4654713A" w14:textId="72CD7450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39" w:history="1">
        <w:r w:rsidR="00781E13" w:rsidRPr="00786576">
          <w:rPr>
            <w:rStyle w:val="Hyperlink"/>
            <w:noProof/>
            <w:szCs w:val="24"/>
            <w:lang w:val="bs-Latn-BA"/>
          </w:rPr>
          <w:t>1.4.3.  Izdaci za komunalne usluge i komunikacije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30888B8C" w14:textId="4EF40E88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0" w:history="1">
        <w:r w:rsidR="00781E13" w:rsidRPr="00786576">
          <w:rPr>
            <w:rStyle w:val="Hyperlink"/>
            <w:noProof/>
            <w:szCs w:val="24"/>
            <w:lang w:val="bs-Latn-BA"/>
          </w:rPr>
          <w:t>1.4.4.  Izdaci za nabavku administrativnog materijala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015E4CA9" w14:textId="03DE5FC9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1" w:history="1">
        <w:r w:rsidR="00781E13" w:rsidRPr="00786576">
          <w:rPr>
            <w:rStyle w:val="Hyperlink"/>
            <w:noProof/>
            <w:szCs w:val="24"/>
            <w:lang w:val="bs-Latn-BA" w:eastAsia="bs-Latn-BA"/>
          </w:rPr>
          <w:t>1.4.5.</w:t>
        </w:r>
        <w:r w:rsidR="00781E13" w:rsidRPr="00786576">
          <w:rPr>
            <w:rStyle w:val="Hyperlink"/>
            <w:noProof/>
            <w:szCs w:val="24"/>
            <w:lang w:val="bs-Latn-BA"/>
          </w:rPr>
          <w:t xml:space="preserve">  </w:t>
        </w:r>
        <w:r w:rsidR="00781E13" w:rsidRPr="00786576">
          <w:rPr>
            <w:rStyle w:val="Hyperlink"/>
            <w:noProof/>
            <w:szCs w:val="24"/>
            <w:lang w:val="bs-Latn-BA" w:eastAsia="bs-Latn-BA"/>
          </w:rPr>
          <w:t>Izdaci za usluge prevoza i goriva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19AF97DC" w14:textId="050D5679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2" w:history="1">
        <w:r w:rsidR="00781E13" w:rsidRPr="00786576">
          <w:rPr>
            <w:rStyle w:val="Hyperlink"/>
            <w:noProof/>
            <w:szCs w:val="24"/>
            <w:lang w:val="bs-Latn-BA"/>
          </w:rPr>
          <w:t>1.4.6.  Izdaci za unajmljivanje imovine i opreme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006189B3" w14:textId="6BBB1920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3" w:history="1">
        <w:r w:rsidR="00781E13" w:rsidRPr="00786576">
          <w:rPr>
            <w:rStyle w:val="Hyperlink"/>
            <w:noProof/>
            <w:szCs w:val="24"/>
            <w:lang w:val="bs-Latn-BA"/>
          </w:rPr>
          <w:t>1.4.7.  Izdaci za materijal i usluge opravki i održavanja</w:t>
        </w:r>
        <w:r w:rsidR="00781E13" w:rsidRPr="00786576">
          <w:rPr>
            <w:noProof/>
            <w:webHidden/>
            <w:szCs w:val="24"/>
            <w:lang w:val="bs-Latn-BA"/>
          </w:rPr>
          <w:tab/>
          <w:t>6</w:t>
        </w:r>
      </w:hyperlink>
    </w:p>
    <w:p w14:paraId="38EC4E8A" w14:textId="3ECB9266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4" w:history="1">
        <w:r w:rsidR="00781E13" w:rsidRPr="00786576">
          <w:rPr>
            <w:rStyle w:val="Hyperlink"/>
            <w:noProof/>
            <w:szCs w:val="24"/>
            <w:lang w:val="bs-Latn-BA"/>
          </w:rPr>
          <w:t xml:space="preserve">1.4.8.  </w:t>
        </w:r>
        <w:r w:rsidR="00781E13" w:rsidRPr="00786576">
          <w:rPr>
            <w:rStyle w:val="Hyperlink"/>
            <w:noProof/>
            <w:szCs w:val="24"/>
            <w:lang w:val="bs-Latn-BA" w:eastAsia="bs-Latn-BA"/>
          </w:rPr>
          <w:t>Izdaci osiguranja, bankarskih usluga i usluga platnog prometa</w:t>
        </w:r>
        <w:r w:rsidR="00781E13" w:rsidRPr="00786576">
          <w:rPr>
            <w:noProof/>
            <w:webHidden/>
            <w:szCs w:val="24"/>
            <w:lang w:val="bs-Latn-BA"/>
          </w:rPr>
          <w:tab/>
        </w:r>
        <w:r w:rsidR="00783932" w:rsidRPr="00786576">
          <w:rPr>
            <w:noProof/>
            <w:webHidden/>
            <w:szCs w:val="24"/>
            <w:lang w:val="bs-Latn-BA"/>
          </w:rPr>
          <w:t>6</w:t>
        </w:r>
      </w:hyperlink>
    </w:p>
    <w:p w14:paraId="5C8DD04C" w14:textId="27BFC29E" w:rsidR="00DC4887" w:rsidRPr="00786576" w:rsidRDefault="00CB428F" w:rsidP="00DC4887">
      <w:pPr>
        <w:pStyle w:val="TOC3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5" w:history="1">
        <w:r w:rsidR="00781E13" w:rsidRPr="00786576">
          <w:rPr>
            <w:rStyle w:val="Hyperlink"/>
            <w:noProof/>
            <w:szCs w:val="24"/>
            <w:lang w:val="bs-Latn-BA"/>
          </w:rPr>
          <w:t>1.4.9.  Izdaci za ugovorene i druge posebne usluge</w:t>
        </w:r>
        <w:r w:rsidR="00781E13" w:rsidRPr="00786576">
          <w:rPr>
            <w:noProof/>
            <w:webHidden/>
            <w:szCs w:val="24"/>
            <w:lang w:val="bs-Latn-BA"/>
          </w:rPr>
          <w:tab/>
        </w:r>
        <w:r w:rsidR="00783932" w:rsidRPr="00786576">
          <w:rPr>
            <w:noProof/>
            <w:webHidden/>
            <w:szCs w:val="24"/>
            <w:lang w:val="bs-Latn-BA"/>
          </w:rPr>
          <w:t>6</w:t>
        </w:r>
      </w:hyperlink>
    </w:p>
    <w:p w14:paraId="477CE114" w14:textId="77777777" w:rsidR="00DC4887" w:rsidRPr="00786576" w:rsidRDefault="00DC4887" w:rsidP="00DC4887">
      <w:pPr>
        <w:pStyle w:val="TOC2"/>
        <w:tabs>
          <w:tab w:val="right" w:leader="dot" w:pos="8875"/>
        </w:tabs>
        <w:rPr>
          <w:rStyle w:val="Hyperlink"/>
          <w:noProof/>
          <w:szCs w:val="24"/>
          <w:lang w:val="bs-Latn-BA"/>
        </w:rPr>
      </w:pPr>
    </w:p>
    <w:p w14:paraId="1CD3A491" w14:textId="4B2DE3EB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6" w:history="1">
        <w:r w:rsidR="00781E13" w:rsidRPr="00786576">
          <w:rPr>
            <w:rStyle w:val="Hyperlink"/>
            <w:noProof/>
            <w:szCs w:val="24"/>
            <w:lang w:val="bs-Latn-BA"/>
          </w:rPr>
          <w:t>1.5. Kapitalni rashodi</w:t>
        </w:r>
        <w:r w:rsidR="00781E13" w:rsidRPr="00786576">
          <w:rPr>
            <w:noProof/>
            <w:webHidden/>
            <w:szCs w:val="24"/>
            <w:lang w:val="bs-Latn-BA"/>
          </w:rPr>
          <w:tab/>
          <w:t>7</w:t>
        </w:r>
      </w:hyperlink>
    </w:p>
    <w:p w14:paraId="7E5D2284" w14:textId="77777777" w:rsidR="00DC4887" w:rsidRPr="00786576" w:rsidRDefault="00DC4887" w:rsidP="00F62E7B">
      <w:pPr>
        <w:pStyle w:val="TOC1"/>
        <w:rPr>
          <w:rStyle w:val="Hyperlink"/>
          <w:noProof/>
          <w:szCs w:val="24"/>
          <w:lang w:val="bs-Latn-BA"/>
        </w:rPr>
      </w:pPr>
    </w:p>
    <w:p w14:paraId="56022BF8" w14:textId="2DAFFFCC" w:rsidR="00DC4887" w:rsidRPr="00786576" w:rsidRDefault="00CB428F" w:rsidP="00F62E7B">
      <w:pPr>
        <w:pStyle w:val="TOC1"/>
        <w:rPr>
          <w:noProof/>
          <w:lang w:val="bs-Latn-BA" w:eastAsia="bs-Latn-BA"/>
        </w:rPr>
      </w:pPr>
      <w:hyperlink w:anchor="_Toc25139547" w:history="1">
        <w:r w:rsidR="00DC4887" w:rsidRPr="00786576">
          <w:rPr>
            <w:rStyle w:val="Hyperlink"/>
            <w:noProof/>
            <w:szCs w:val="24"/>
            <w:lang w:val="bs-Latn-BA"/>
          </w:rPr>
          <w:t>2. Plan prihoda</w:t>
        </w:r>
        <w:r w:rsidR="00DC4887" w:rsidRPr="00786576">
          <w:rPr>
            <w:noProof/>
            <w:webHidden/>
            <w:lang w:val="bs-Latn-BA"/>
          </w:rPr>
          <w:tab/>
        </w:r>
        <w:r w:rsidR="00DC4887" w:rsidRPr="00786576">
          <w:rPr>
            <w:noProof/>
            <w:webHidden/>
            <w:lang w:val="bs-Latn-BA"/>
          </w:rPr>
          <w:fldChar w:fldCharType="begin"/>
        </w:r>
        <w:r w:rsidR="00DC4887" w:rsidRPr="00786576">
          <w:rPr>
            <w:noProof/>
            <w:webHidden/>
            <w:lang w:val="bs-Latn-BA"/>
          </w:rPr>
          <w:instrText xml:space="preserve"> PAGEREF _Toc25139547 \h </w:instrText>
        </w:r>
        <w:r w:rsidR="00DC4887" w:rsidRPr="00786576">
          <w:rPr>
            <w:noProof/>
            <w:webHidden/>
            <w:lang w:val="bs-Latn-BA"/>
          </w:rPr>
        </w:r>
        <w:r w:rsidR="00DC4887" w:rsidRPr="00786576">
          <w:rPr>
            <w:noProof/>
            <w:webHidden/>
            <w:lang w:val="bs-Latn-BA"/>
          </w:rPr>
          <w:fldChar w:fldCharType="separate"/>
        </w:r>
        <w:r w:rsidR="00783932" w:rsidRPr="00786576">
          <w:rPr>
            <w:noProof/>
            <w:webHidden/>
            <w:lang w:val="bs-Latn-BA"/>
          </w:rPr>
          <w:t>7</w:t>
        </w:r>
        <w:r w:rsidR="00DC4887" w:rsidRPr="00786576">
          <w:rPr>
            <w:noProof/>
            <w:webHidden/>
            <w:lang w:val="bs-Latn-BA"/>
          </w:rPr>
          <w:fldChar w:fldCharType="end"/>
        </w:r>
      </w:hyperlink>
    </w:p>
    <w:p w14:paraId="2C5DB96A" w14:textId="77777777" w:rsidR="00DC4887" w:rsidRPr="00786576" w:rsidRDefault="00DC4887" w:rsidP="00DC4887">
      <w:pPr>
        <w:pStyle w:val="TOC2"/>
        <w:tabs>
          <w:tab w:val="right" w:leader="dot" w:pos="8875"/>
        </w:tabs>
        <w:rPr>
          <w:rStyle w:val="Hyperlink"/>
          <w:noProof/>
          <w:szCs w:val="24"/>
          <w:lang w:val="bs-Latn-BA"/>
        </w:rPr>
      </w:pPr>
    </w:p>
    <w:p w14:paraId="229ED5B3" w14:textId="3A8D994B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8" w:history="1">
        <w:r w:rsidR="00781E13" w:rsidRPr="00786576">
          <w:rPr>
            <w:rStyle w:val="Hyperlink"/>
            <w:noProof/>
            <w:szCs w:val="24"/>
            <w:lang w:val="bs-Latn-BA"/>
          </w:rPr>
          <w:t>2.1.   Prihodi od regulatornih naknada</w:t>
        </w:r>
        <w:r w:rsidR="00781E13" w:rsidRPr="00786576">
          <w:rPr>
            <w:noProof/>
            <w:webHidden/>
            <w:szCs w:val="24"/>
            <w:lang w:val="bs-Latn-BA"/>
          </w:rPr>
          <w:tab/>
          <w:t>8</w:t>
        </w:r>
      </w:hyperlink>
    </w:p>
    <w:p w14:paraId="427904BA" w14:textId="653EB3CD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49" w:history="1">
        <w:r w:rsidR="00781E13" w:rsidRPr="00786576">
          <w:rPr>
            <w:rStyle w:val="Hyperlink"/>
            <w:noProof/>
            <w:szCs w:val="24"/>
            <w:lang w:val="bs-Latn-BA"/>
          </w:rPr>
          <w:t>2.2.   Prihodi od jednokratnih i ostalih naknada</w:t>
        </w:r>
        <w:r w:rsidR="00781E13" w:rsidRPr="00786576">
          <w:rPr>
            <w:noProof/>
            <w:webHidden/>
            <w:szCs w:val="24"/>
            <w:lang w:val="bs-Latn-BA"/>
          </w:rPr>
          <w:tab/>
          <w:t>8</w:t>
        </w:r>
      </w:hyperlink>
    </w:p>
    <w:p w14:paraId="37B71F19" w14:textId="3184AC58" w:rsidR="00DC4887" w:rsidRPr="00786576" w:rsidRDefault="00CB428F" w:rsidP="00DC4887">
      <w:pPr>
        <w:pStyle w:val="TOC2"/>
        <w:tabs>
          <w:tab w:val="right" w:leader="dot" w:pos="8875"/>
        </w:tabs>
        <w:rPr>
          <w:noProof/>
          <w:szCs w:val="24"/>
          <w:lang w:val="bs-Latn-BA" w:eastAsia="bs-Latn-BA"/>
        </w:rPr>
      </w:pPr>
      <w:hyperlink w:anchor="_Toc25139550" w:history="1">
        <w:r w:rsidR="00781E13" w:rsidRPr="00786576">
          <w:rPr>
            <w:rStyle w:val="Hyperlink"/>
            <w:noProof/>
            <w:szCs w:val="24"/>
            <w:lang w:val="bs-Latn-BA"/>
          </w:rPr>
          <w:t>2.3.   Ostali prihodi</w:t>
        </w:r>
        <w:r w:rsidR="00781E13" w:rsidRPr="00786576">
          <w:rPr>
            <w:noProof/>
            <w:webHidden/>
            <w:szCs w:val="24"/>
            <w:lang w:val="bs-Latn-BA"/>
          </w:rPr>
          <w:tab/>
          <w:t>8</w:t>
        </w:r>
      </w:hyperlink>
    </w:p>
    <w:p w14:paraId="0730DF85" w14:textId="77777777" w:rsidR="00DC4887" w:rsidRPr="00786576" w:rsidRDefault="00DC4887" w:rsidP="00F62E7B">
      <w:pPr>
        <w:pStyle w:val="TOC1"/>
        <w:rPr>
          <w:rStyle w:val="Hyperlink"/>
          <w:noProof/>
          <w:szCs w:val="24"/>
          <w:lang w:val="bs-Latn-BA"/>
        </w:rPr>
      </w:pPr>
    </w:p>
    <w:p w14:paraId="78FBB832" w14:textId="49D482E3" w:rsidR="00DC4887" w:rsidRPr="00786576" w:rsidRDefault="00CB428F" w:rsidP="00F62E7B">
      <w:pPr>
        <w:pStyle w:val="TOC1"/>
        <w:rPr>
          <w:noProof/>
          <w:lang w:val="bs-Latn-BA" w:eastAsia="bs-Latn-BA"/>
        </w:rPr>
      </w:pPr>
      <w:hyperlink w:anchor="_Toc25139551" w:history="1">
        <w:r w:rsidR="00781E13" w:rsidRPr="00786576">
          <w:rPr>
            <w:rStyle w:val="Hyperlink"/>
            <w:noProof/>
            <w:szCs w:val="24"/>
            <w:lang w:val="bs-Latn-BA"/>
          </w:rPr>
          <w:t>3.  Sažetak</w:t>
        </w:r>
        <w:r w:rsidR="00781E13" w:rsidRPr="00786576">
          <w:rPr>
            <w:noProof/>
            <w:webHidden/>
            <w:lang w:val="bs-Latn-BA"/>
          </w:rPr>
          <w:tab/>
          <w:t>8</w:t>
        </w:r>
      </w:hyperlink>
    </w:p>
    <w:p w14:paraId="6BD64FEC" w14:textId="77777777" w:rsidR="00DC4887" w:rsidRPr="00786576" w:rsidRDefault="00DC4887" w:rsidP="00F62E7B">
      <w:pPr>
        <w:pStyle w:val="TOC1"/>
        <w:rPr>
          <w:rStyle w:val="Hyperlink"/>
          <w:noProof/>
          <w:szCs w:val="24"/>
          <w:lang w:val="bs-Latn-BA"/>
        </w:rPr>
      </w:pPr>
    </w:p>
    <w:p w14:paraId="17C4F105" w14:textId="6406EE31" w:rsidR="00DC4887" w:rsidRPr="00786576" w:rsidRDefault="00CB428F" w:rsidP="00F62E7B">
      <w:pPr>
        <w:pStyle w:val="TOC1"/>
        <w:rPr>
          <w:noProof/>
          <w:lang w:val="bs-Latn-BA"/>
        </w:rPr>
      </w:pPr>
      <w:hyperlink w:anchor="_Toc25139552" w:history="1">
        <w:r w:rsidR="00781E13" w:rsidRPr="00786576">
          <w:rPr>
            <w:rStyle w:val="Hyperlink"/>
            <w:noProof/>
            <w:szCs w:val="24"/>
            <w:lang w:val="bs-Latn-BA"/>
          </w:rPr>
          <w:t>4. Prilog – Prijedlog budžeta FERK-a za 2022. godinu</w:t>
        </w:r>
        <w:r w:rsidR="00781E13" w:rsidRPr="00786576">
          <w:rPr>
            <w:noProof/>
            <w:webHidden/>
            <w:lang w:val="bs-Latn-BA"/>
          </w:rPr>
          <w:tab/>
          <w:t>1</w:t>
        </w:r>
        <w:r w:rsidR="00783932" w:rsidRPr="00786576">
          <w:rPr>
            <w:noProof/>
            <w:webHidden/>
            <w:lang w:val="bs-Latn-BA"/>
          </w:rPr>
          <w:t>1</w:t>
        </w:r>
      </w:hyperlink>
    </w:p>
    <w:p w14:paraId="4E7F0707" w14:textId="77777777" w:rsidR="00781E13" w:rsidRPr="00786576" w:rsidRDefault="00781E13" w:rsidP="00314CD9">
      <w:pPr>
        <w:rPr>
          <w:lang w:val="bs-Latn-BA"/>
        </w:rPr>
      </w:pPr>
    </w:p>
    <w:p w14:paraId="795F1006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noProof/>
          <w:sz w:val="24"/>
          <w:szCs w:val="24"/>
          <w:lang w:val="bs-Latn-BA"/>
        </w:rPr>
        <w:fldChar w:fldCharType="end"/>
      </w:r>
    </w:p>
    <w:p w14:paraId="5B2E3269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50BD24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274BD22" w14:textId="6B03D566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D1E9295" w14:textId="68EA2097" w:rsidR="00476D2F" w:rsidRPr="00786576" w:rsidRDefault="00476D2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F11F1D" w14:textId="554388B4" w:rsidR="00476D2F" w:rsidRPr="00786576" w:rsidRDefault="00476D2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AE05442" w14:textId="2B0D2CEA" w:rsidR="00476D2F" w:rsidRPr="00786576" w:rsidRDefault="00476D2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535718" w14:textId="77777777" w:rsidR="00476D2F" w:rsidRPr="00786576" w:rsidRDefault="00476D2F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C44FC3" w14:textId="5E4136D7" w:rsidR="00DC4887" w:rsidRPr="00786576" w:rsidRDefault="00DC4887" w:rsidP="003D253A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786576">
        <w:rPr>
          <w:rFonts w:ascii="Times New Roman" w:hAnsi="Times New Roman" w:cs="Times New Roman"/>
          <w:sz w:val="28"/>
          <w:szCs w:val="28"/>
          <w:lang w:val="bs-Latn-BA"/>
        </w:rPr>
        <w:t>PRIJEDLOG  FINANSIJSKOG PLANA-</w:t>
      </w:r>
    </w:p>
    <w:p w14:paraId="15AA803B" w14:textId="7AED4A60" w:rsidR="00DC4887" w:rsidRPr="00786576" w:rsidRDefault="00DC4887" w:rsidP="00F12959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786576">
        <w:rPr>
          <w:rFonts w:ascii="Times New Roman" w:hAnsi="Times New Roman" w:cs="Times New Roman"/>
          <w:sz w:val="28"/>
          <w:szCs w:val="28"/>
          <w:lang w:val="bs-Latn-BA"/>
        </w:rPr>
        <w:t xml:space="preserve">BUDŽETA </w:t>
      </w:r>
      <w:proofErr w:type="spellStart"/>
      <w:r w:rsidRPr="00786576">
        <w:rPr>
          <w:rFonts w:ascii="Times New Roman" w:hAnsi="Times New Roman" w:cs="Times New Roman"/>
          <w:sz w:val="28"/>
          <w:szCs w:val="28"/>
          <w:lang w:val="bs-Latn-BA"/>
        </w:rPr>
        <w:t>FERK-</w:t>
      </w:r>
      <w:r w:rsidR="004E6B46" w:rsidRPr="00786576">
        <w:rPr>
          <w:rFonts w:ascii="Times New Roman" w:hAnsi="Times New Roman" w:cs="Times New Roman"/>
          <w:sz w:val="28"/>
          <w:szCs w:val="28"/>
          <w:lang w:val="bs-Latn-BA"/>
        </w:rPr>
        <w:t>a</w:t>
      </w:r>
      <w:proofErr w:type="spellEnd"/>
      <w:r w:rsidRPr="00786576">
        <w:rPr>
          <w:rFonts w:ascii="Times New Roman" w:hAnsi="Times New Roman" w:cs="Times New Roman"/>
          <w:sz w:val="28"/>
          <w:szCs w:val="28"/>
          <w:lang w:val="bs-Latn-BA"/>
        </w:rPr>
        <w:t xml:space="preserve"> ZA 202</w:t>
      </w:r>
      <w:r w:rsidR="00AE5A35" w:rsidRPr="00786576">
        <w:rPr>
          <w:rFonts w:ascii="Times New Roman" w:hAnsi="Times New Roman" w:cs="Times New Roman"/>
          <w:sz w:val="28"/>
          <w:szCs w:val="28"/>
          <w:lang w:val="bs-Latn-BA"/>
        </w:rPr>
        <w:t>2</w:t>
      </w:r>
      <w:r w:rsidRPr="00786576">
        <w:rPr>
          <w:rFonts w:ascii="Times New Roman" w:hAnsi="Times New Roman" w:cs="Times New Roman"/>
          <w:sz w:val="28"/>
          <w:szCs w:val="28"/>
          <w:lang w:val="bs-Latn-BA"/>
        </w:rPr>
        <w:t>.</w:t>
      </w:r>
      <w:r w:rsidR="009454D5" w:rsidRPr="0078657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8"/>
          <w:szCs w:val="28"/>
          <w:lang w:val="bs-Latn-BA"/>
        </w:rPr>
        <w:t>GODINU</w:t>
      </w:r>
    </w:p>
    <w:p w14:paraId="5608EF1A" w14:textId="77777777" w:rsidR="00086271" w:rsidRPr="00786576" w:rsidRDefault="00086271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06F663C" w14:textId="4DD88DE0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Zakonski osnov za izradu Prijedloga finansijskog plana -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 za energiju u Federaciji Bosne i Hercegovine - FERK za 202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godinu (u daljem tekstu: Prijedlog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202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C6CA5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godinu) i podnošenje istog Parlamentu Federacije BiH, je član 31. Zakona o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energiji u Federaciji Bosne i Hercegovine („Službene novine Federacije BiH“ broj 66/13, 94/15 i 54/19), kao i član 17. stav (3) i stav (4) Zakona o naftnim derivatima u Federaciji Bosne i Hercegovine („Službene novine Federacije BiH“ broj 52/14).</w:t>
      </w:r>
    </w:p>
    <w:p w14:paraId="0D81A9E2" w14:textId="3B538C9D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Član 31. Zakona o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energiji propisuje:</w:t>
      </w:r>
    </w:p>
    <w:p w14:paraId="537C1707" w14:textId="16211D76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„(1)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komisija se finansira iz prihoda od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 jednokratnih naknada koje će naplaćivati od imalaca dozvola koji se bave djelatnošću iz člana 12. ovog zakona i prihoda od naknada za dozvole koje izdaje, uključujući i troškove po osnovu arbitraže.</w:t>
      </w:r>
    </w:p>
    <w:p w14:paraId="5230B8B6" w14:textId="0F73F9E2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(2) Naknade iz stava (1) ovog člana će biti određene tako da pokrivaju troškove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komisije. </w:t>
      </w:r>
    </w:p>
    <w:p w14:paraId="37968B3C" w14:textId="6F46078C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(3) Višak prihoda od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 jednokratnih naknada iz stava (1) ovog člana i drugih naknada ostvarenih od poslova iz nadležnosti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komisije, u odnosu na finansijski plan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komisije, prenosi se u prihod za narednu godinu.</w:t>
      </w:r>
    </w:p>
    <w:p w14:paraId="2D01B1B6" w14:textId="6C9C8BC1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(4) Budžet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 usvaja Parlament Federacije prije početka budžetske godine, na prijedlog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komisije.</w:t>
      </w:r>
    </w:p>
    <w:p w14:paraId="48631DE3" w14:textId="34A72496" w:rsidR="00A94D13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(5) Budžet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 objavljuje se u „Službenim novinama Federacije BiH“.</w:t>
      </w:r>
    </w:p>
    <w:p w14:paraId="68172C5D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Elektroprivredne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djelatnosti iz člana 12. Zakona o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energiji su:</w:t>
      </w:r>
    </w:p>
    <w:p w14:paraId="5C0DC9F8" w14:textId="77F321AD" w:rsidR="00DC4887" w:rsidRPr="00786576" w:rsidRDefault="00DC4887" w:rsidP="003D25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Ref530474619"/>
      <w:r w:rsidRPr="00786576">
        <w:rPr>
          <w:rFonts w:ascii="Times New Roman" w:hAnsi="Times New Roman" w:cs="Times New Roman"/>
          <w:sz w:val="24"/>
          <w:szCs w:val="24"/>
          <w:lang w:val="bs-Latn-BA"/>
        </w:rPr>
        <w:t>proizvodnja električne energije,</w:t>
      </w:r>
      <w:bookmarkEnd w:id="0"/>
    </w:p>
    <w:p w14:paraId="180A154C" w14:textId="08DEAEE8" w:rsidR="00DC4887" w:rsidRPr="00786576" w:rsidRDefault="00DC4887" w:rsidP="003D25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distribucija električne energije,</w:t>
      </w:r>
    </w:p>
    <w:p w14:paraId="55DFD528" w14:textId="03DD359A" w:rsidR="00DC4887" w:rsidRPr="00786576" w:rsidRDefault="00DC4887" w:rsidP="003D25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snabdijevanje električnom energijom i</w:t>
      </w:r>
    </w:p>
    <w:p w14:paraId="5686D1B9" w14:textId="2D78A6C2" w:rsidR="00DC4887" w:rsidRPr="00786576" w:rsidRDefault="00DC4887" w:rsidP="00DC488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trgovina električnom energijom.</w:t>
      </w:r>
    </w:p>
    <w:p w14:paraId="6890DDD4" w14:textId="675A7A60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Član 17. stav (3) i stav (4) Zakona o naftnim derivatima definiše:</w:t>
      </w:r>
    </w:p>
    <w:p w14:paraId="43DB2760" w14:textId="5AE13A33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„(3)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komisija finansira se iz prihoda od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 jednokratnih naknada koje će naplaćivati od imalaca dozvola koji se bave energetskim djelatnostima iz člana 9. ovog zakona i prihoda od naknada za dozvole koje izdaje, uključujući i naknade troškova na osnovu arbitraže.</w:t>
      </w:r>
    </w:p>
    <w:p w14:paraId="2A3C2FE1" w14:textId="20ABF283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(4) Iznos naknada iz stava (3) ovog člana određuje se tako da pokriva</w:t>
      </w:r>
      <w:r w:rsidR="003375F4" w:rsidRPr="00786576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realne troškove rada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komisije.“</w:t>
      </w:r>
    </w:p>
    <w:p w14:paraId="6205943E" w14:textId="0D829158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Energetske djelatnosti iz sektora naftne privrede u skladu sa članovima 9., 17. i 19. Zakona o naftnim derivatima, za koje FERK izdaje dozvole za rad, su: </w:t>
      </w:r>
    </w:p>
    <w:p w14:paraId="0B14EFA2" w14:textId="650E9623" w:rsidR="00DC4887" w:rsidRPr="00786576" w:rsidRDefault="00572A24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1. proizvodnja naftnih derivata,</w:t>
      </w:r>
    </w:p>
    <w:p w14:paraId="3D39DCEA" w14:textId="14491F7B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2. trgovina na veliko naftnim derivatima osim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LPG-om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FDCC649" w14:textId="1FD45AE5" w:rsidR="00DC4887" w:rsidRPr="00786576" w:rsidRDefault="001224C8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3. transport naftnih derivata </w:t>
      </w:r>
      <w:proofErr w:type="spellStart"/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drumskim</w:t>
      </w:r>
      <w:proofErr w:type="spellEnd"/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ili željezničkim </w:t>
      </w:r>
      <w:proofErr w:type="spellStart"/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saobraćajem</w:t>
      </w:r>
      <w:proofErr w:type="spellEnd"/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03AFD117" w14:textId="62A5F145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4. skladištenje naftnih derivata osim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LPG-a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</w:p>
    <w:p w14:paraId="4F3FAA2A" w14:textId="01FCC507" w:rsidR="00572A24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         5. trgovanje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LPG-om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3E5C106" w14:textId="3508E240" w:rsidR="003375F4" w:rsidRPr="00786576" w:rsidRDefault="00DC4887" w:rsidP="00DC488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Prijedlog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202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82DD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godinu </w:t>
      </w:r>
      <w:r w:rsidR="00D643DF" w:rsidRPr="00786576">
        <w:rPr>
          <w:rFonts w:ascii="Times New Roman" w:hAnsi="Times New Roman" w:cs="Times New Roman"/>
          <w:sz w:val="24"/>
          <w:szCs w:val="24"/>
          <w:lang w:val="bs-Latn-BA"/>
        </w:rPr>
        <w:t>ima za cilj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osigurati uslove za finansijsku stabilnost i likvidnost poslovanja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>, a sve</w:t>
      </w:r>
      <w:r w:rsidR="003375F4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643DF" w:rsidRPr="00786576">
        <w:rPr>
          <w:rFonts w:ascii="Times New Roman" w:hAnsi="Times New Roman" w:cs="Times New Roman"/>
          <w:sz w:val="24"/>
          <w:szCs w:val="24"/>
          <w:lang w:val="bs-Latn-BA"/>
        </w:rPr>
        <w:t>zbog</w:t>
      </w:r>
      <w:r w:rsidR="0061068D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nesmetanog obavljanja poslova iz nadležnosti, zbog kojih je osnovan. 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Prijedlog budžeta </w:t>
      </w:r>
      <w:proofErr w:type="spellStart"/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202</w:t>
      </w:r>
      <w:r w:rsidR="0061068D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godinu  planiran</w:t>
      </w:r>
      <w:r w:rsidR="00AE5A35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je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istom nivou kao</w:t>
      </w:r>
      <w:r w:rsidR="000F1697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9F015B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prethodne</w:t>
      </w:r>
      <w:r w:rsidR="00572A24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E5A35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tri </w:t>
      </w:r>
      <w:r w:rsidR="000F1697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godine 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2019</w:t>
      </w:r>
      <w:r w:rsidR="00AE5A35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3375F4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="000F1697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2020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AE5A35"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2021.</w:t>
      </w:r>
      <w:r w:rsidRPr="007865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41FE2076" w14:textId="4EDD1ABE" w:rsidR="00476D2F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Struktura Prijedloga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202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317CD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godinu u nastavku 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detaljno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obrazložena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76B288A" w14:textId="77777777" w:rsidR="00DC4887" w:rsidRPr="00786576" w:rsidRDefault="00DC4887" w:rsidP="00DC4887">
      <w:pPr>
        <w:rPr>
          <w:rFonts w:ascii="Times New Roman" w:hAnsi="Times New Roman" w:cs="Times New Roman"/>
          <w:sz w:val="16"/>
          <w:szCs w:val="16"/>
          <w:lang w:val="bs-Latn-BA"/>
        </w:rPr>
      </w:pPr>
    </w:p>
    <w:p w14:paraId="44FF28FF" w14:textId="77777777" w:rsidR="00DC4887" w:rsidRPr="00786576" w:rsidRDefault="00DC4887" w:rsidP="00DC4887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</w:pPr>
      <w:bookmarkStart w:id="1" w:name="_Toc25139532"/>
      <w:r w:rsidRPr="00786576"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  <w:t>1. Plan rashoda</w:t>
      </w:r>
      <w:bookmarkEnd w:id="1"/>
    </w:p>
    <w:p w14:paraId="0BD4A9F0" w14:textId="77777777" w:rsidR="00DC4887" w:rsidRPr="00786576" w:rsidRDefault="00DC4887" w:rsidP="00DC4887">
      <w:pPr>
        <w:rPr>
          <w:rFonts w:ascii="Times New Roman" w:hAnsi="Times New Roman" w:cs="Times New Roman"/>
          <w:sz w:val="16"/>
          <w:szCs w:val="16"/>
          <w:lang w:val="bs-Latn-BA"/>
        </w:rPr>
      </w:pPr>
    </w:p>
    <w:p w14:paraId="176EB731" w14:textId="7BDCC1A4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Zakonom o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energiji u Federaciji Bosne i Hercegovine („Službene novine Federacije BiH“ broj 66/13, 94/15 i 54/19), kao i Zakonom o korištenju obnovljivih izvora energije i efikasne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kogeneracije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(„Službene novine Federacije BiH“ broj 70/13 i 5/14), propisane su nadležnosti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iz oblasti električne energije, a Zakonom o naftnim derivatima u Federaciji Bosne i Hercegovine („Službene novine Federacije BiH“ broj 52/14)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FERK-u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su propisane nadležnosti iz oblasti naftne privrede.</w:t>
      </w:r>
      <w:r w:rsidR="0061068D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Takođe se  očekuje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dobivanje nadležnosti i iz sektora gasa i energetske efikasnosti. Da bi se </w:t>
      </w:r>
      <w:r w:rsidR="0061068D" w:rsidRPr="00786576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071215" w:rsidRPr="00786576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61068D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metano odvijale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aktivnosti</w:t>
      </w:r>
      <w:r w:rsidR="0061068D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koje su propisane naprijed navedenim zakonima, pripremljen je Prijedlog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202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14:paraId="16E7A505" w14:textId="6FA60417" w:rsidR="00DC4887" w:rsidRPr="00786576" w:rsidRDefault="00DC4887" w:rsidP="00DC4887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Ukupno planirani rashodi za 202</w:t>
      </w:r>
      <w:r w:rsidR="00AE5A35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godinu iznose 3.787.</w:t>
      </w:r>
      <w:r w:rsidR="00F12F8F" w:rsidRPr="00786576">
        <w:rPr>
          <w:rFonts w:ascii="Times New Roman" w:hAnsi="Times New Roman" w:cs="Times New Roman"/>
          <w:sz w:val="24"/>
          <w:szCs w:val="24"/>
          <w:lang w:val="bs-Latn-BA"/>
        </w:rPr>
        <w:t>266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,00 KM.</w:t>
      </w:r>
    </w:p>
    <w:p w14:paraId="783507A4" w14:textId="77777777" w:rsidR="00110F64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 nastavku su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obrazložene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pojedine planirane stavke rashoda.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960"/>
        <w:gridCol w:w="4852"/>
        <w:gridCol w:w="1985"/>
        <w:gridCol w:w="1842"/>
      </w:tblGrid>
      <w:tr w:rsidR="00110F64" w:rsidRPr="00786576" w14:paraId="633726F7" w14:textId="77777777" w:rsidTr="00151783">
        <w:trPr>
          <w:cantSplit/>
          <w:trHeight w:val="30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9C44878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Konto</w:t>
            </w:r>
          </w:p>
        </w:tc>
        <w:tc>
          <w:tcPr>
            <w:tcW w:w="4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1D194E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Opis stavke Budžeta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960BB59" w14:textId="653A761F" w:rsidR="00110F64" w:rsidRPr="00786576" w:rsidRDefault="00110F64" w:rsidP="00BA6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Iznos u 2022.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F002278" w14:textId="0ED27634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Iznos u 2021. </w:t>
            </w:r>
          </w:p>
        </w:tc>
      </w:tr>
      <w:tr w:rsidR="00110F64" w:rsidRPr="00786576" w14:paraId="3596DA57" w14:textId="77777777" w:rsidTr="00151783">
        <w:trPr>
          <w:cantSplit/>
          <w:trHeight w:val="315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EB59C" w14:textId="77777777" w:rsidR="00110F64" w:rsidRPr="00786576" w:rsidRDefault="00110F64" w:rsidP="00110F6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A0061" w14:textId="77777777" w:rsidR="00110F64" w:rsidRPr="00786576" w:rsidRDefault="00110F64" w:rsidP="00110F6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B1D79DB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(KM)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D8A09F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(KM)</w:t>
            </w:r>
          </w:p>
        </w:tc>
      </w:tr>
      <w:tr w:rsidR="00110F64" w:rsidRPr="00786576" w14:paraId="2C2AAA31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4308B4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B1DE12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Bruto plate i naknade </w:t>
            </w:r>
            <w:proofErr w:type="spellStart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zaposlenima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A13BF7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2.276.507,00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86745B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2.113.982,00</w:t>
            </w:r>
          </w:p>
        </w:tc>
      </w:tr>
      <w:tr w:rsidR="00110F64" w:rsidRPr="00786576" w14:paraId="5121842B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CFD930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CBF9E6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Naknada troškova zaposlenih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3EE94F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207.800,00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89662D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174.780,00</w:t>
            </w:r>
          </w:p>
        </w:tc>
      </w:tr>
      <w:tr w:rsidR="00110F64" w:rsidRPr="00786576" w14:paraId="6ED367EA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D84BD4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1AE33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Doprinosi poslodavca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E4BE7C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258.270,00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6C5A5E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239.831,00</w:t>
            </w:r>
          </w:p>
        </w:tc>
      </w:tr>
      <w:tr w:rsidR="00110F64" w:rsidRPr="00786576" w14:paraId="0EEC7BF1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467CCF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EF455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Izdaci za materijal i usluge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602045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524.689,00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C2C42C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521.673,00</w:t>
            </w:r>
          </w:p>
        </w:tc>
      </w:tr>
      <w:tr w:rsidR="00110F64" w:rsidRPr="00786576" w14:paraId="295654A5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899F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4DA9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Putni troškovi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2F60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64.000,00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4DB0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62.743,00</w:t>
            </w:r>
          </w:p>
        </w:tc>
      </w:tr>
      <w:tr w:rsidR="00110F64" w:rsidRPr="00786576" w14:paraId="3170E83F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1395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2C91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Izdaci za energiju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72D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14.000,00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26E5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12.000,00</w:t>
            </w:r>
          </w:p>
        </w:tc>
      </w:tr>
      <w:tr w:rsidR="00110F64" w:rsidRPr="00786576" w14:paraId="0BC9D65F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968C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54A6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Izdaci za komunalne usluge i komunikaciju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2B56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29.870,00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6394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29.730,00</w:t>
            </w:r>
          </w:p>
        </w:tc>
      </w:tr>
      <w:tr w:rsidR="00110F64" w:rsidRPr="00786576" w14:paraId="282E25BE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B76D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C449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Administrativni materijal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0FBF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23.500,00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C317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26.000,00</w:t>
            </w:r>
          </w:p>
        </w:tc>
      </w:tr>
      <w:tr w:rsidR="00110F64" w:rsidRPr="00786576" w14:paraId="2D7C2530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C271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296A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Izdaci za usluge prevoza i goriva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A278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16.200,00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C311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16.500,00</w:t>
            </w:r>
          </w:p>
        </w:tc>
      </w:tr>
      <w:tr w:rsidR="00110F64" w:rsidRPr="00786576" w14:paraId="43E04576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7D41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DFC8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Unajmljivanje imovine i opreme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EC33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187.745,00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33A0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195.000,00</w:t>
            </w:r>
          </w:p>
        </w:tc>
      </w:tr>
      <w:tr w:rsidR="00110F64" w:rsidRPr="00786576" w14:paraId="571A8D86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8C86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9D30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Materijal i usluge </w:t>
            </w:r>
            <w:proofErr w:type="spellStart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opravki</w:t>
            </w:r>
            <w:proofErr w:type="spellEnd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 i održavanja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103B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8072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41.500,00</w:t>
            </w:r>
          </w:p>
        </w:tc>
      </w:tr>
      <w:tr w:rsidR="00110F64" w:rsidRPr="00786576" w14:paraId="4B184662" w14:textId="77777777" w:rsidTr="00314C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2E0A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FFBE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Izdaci osiguranja, </w:t>
            </w:r>
            <w:proofErr w:type="spellStart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bankarskih</w:t>
            </w:r>
            <w:proofErr w:type="spellEnd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 usluga i usluga platnog prometa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C1CA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19.300,00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2AD6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18.200,00</w:t>
            </w:r>
          </w:p>
        </w:tc>
      </w:tr>
      <w:tr w:rsidR="00110F64" w:rsidRPr="00786576" w14:paraId="7A84987E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424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6139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016A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Ugovorene i druge posebne usluge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0E8E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135.074,00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4FA1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120.000,00</w:t>
            </w:r>
          </w:p>
        </w:tc>
      </w:tr>
      <w:tr w:rsidR="00110F64" w:rsidRPr="00786576" w14:paraId="3D8573C8" w14:textId="77777777" w:rsidTr="00734F3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DB2524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821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2CAA39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Kapitalni rashodi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8B25E0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520.000,00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38BBB3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737.000,00</w:t>
            </w:r>
          </w:p>
        </w:tc>
      </w:tr>
      <w:tr w:rsidR="00110F64" w:rsidRPr="00786576" w14:paraId="71B55673" w14:textId="77777777" w:rsidTr="00734F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8A82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lastRenderedPageBreak/>
              <w:t>821300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8AC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Nabavka opreme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1A74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75.000,00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CA99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80.000,00</w:t>
            </w:r>
          </w:p>
        </w:tc>
      </w:tr>
      <w:tr w:rsidR="00110F64" w:rsidRPr="00786576" w14:paraId="3B4600F7" w14:textId="77777777" w:rsidTr="00314C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782E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821500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6709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Nabavka stalnih sredstava u obliku prava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9472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45.000,00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9A87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47.000,00</w:t>
            </w:r>
          </w:p>
        </w:tc>
      </w:tr>
      <w:tr w:rsidR="00110F64" w:rsidRPr="00786576" w14:paraId="624BA69F" w14:textId="77777777" w:rsidTr="00314C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C7FE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821311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20F6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Nabavka namještaja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2DFE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Latn-BA" w:eastAsia="bs-Latn-BA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650F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10.000,00</w:t>
            </w:r>
          </w:p>
        </w:tc>
      </w:tr>
      <w:tr w:rsidR="00110F64" w:rsidRPr="00786576" w14:paraId="303C2C0C" w14:textId="77777777" w:rsidTr="00314CD9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081E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821000</w:t>
            </w:r>
          </w:p>
        </w:tc>
        <w:tc>
          <w:tcPr>
            <w:tcW w:w="4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1F05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Nabavka stalnih sredstava (zemljište i građevina)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ADE88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7C778" w14:textId="77777777" w:rsidR="00110F64" w:rsidRPr="00786576" w:rsidRDefault="00110F64" w:rsidP="00110F64">
            <w:pPr>
              <w:spacing w:after="0"/>
              <w:jc w:val="left"/>
              <w:rPr>
                <w:rFonts w:eastAsia="Times New Roman"/>
                <w:color w:val="000000"/>
                <w:lang w:val="bs-Latn-BA" w:eastAsia="bs-Latn-BA"/>
              </w:rPr>
            </w:pPr>
            <w:r w:rsidRPr="00786576">
              <w:rPr>
                <w:rFonts w:eastAsia="Times New Roman"/>
                <w:color w:val="000000"/>
                <w:lang w:val="bs-Latn-BA" w:eastAsia="bs-Latn-BA"/>
              </w:rPr>
              <w:t> </w:t>
            </w:r>
          </w:p>
        </w:tc>
      </w:tr>
      <w:tr w:rsidR="00110F64" w:rsidRPr="00786576" w14:paraId="3D340244" w14:textId="77777777" w:rsidTr="00314CD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9FF4" w14:textId="77777777" w:rsidR="00110F64" w:rsidRPr="00786576" w:rsidRDefault="00110F64" w:rsidP="00110F6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1414" w14:textId="77777777" w:rsidR="00110F64" w:rsidRPr="00786576" w:rsidRDefault="00110F64" w:rsidP="00110F6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2533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400.000,00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D883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600.000,00</w:t>
            </w:r>
          </w:p>
        </w:tc>
      </w:tr>
      <w:tr w:rsidR="00110F64" w:rsidRPr="00786576" w14:paraId="13D5E091" w14:textId="77777777" w:rsidTr="00314CD9">
        <w:trPr>
          <w:trHeight w:val="300"/>
        </w:trPr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F47BB08" w14:textId="30DC76EF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UKUPNO RASHODA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DDECA98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70EF4E5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 </w:t>
            </w:r>
          </w:p>
        </w:tc>
      </w:tr>
      <w:tr w:rsidR="00110F64" w:rsidRPr="00786576" w14:paraId="0F7FB8C8" w14:textId="77777777" w:rsidTr="00314CD9">
        <w:trPr>
          <w:trHeight w:val="315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4D965" w14:textId="77777777" w:rsidR="00110F64" w:rsidRPr="00786576" w:rsidRDefault="00110F64" w:rsidP="00110F6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DE4AC71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3.787.266,00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8B84018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3.787.266,00</w:t>
            </w:r>
          </w:p>
        </w:tc>
      </w:tr>
    </w:tbl>
    <w:p w14:paraId="4FB26EEE" w14:textId="25731352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ab/>
        <w:t xml:space="preserve"> </w:t>
      </w:r>
    </w:p>
    <w:p w14:paraId="12F4673D" w14:textId="12501C56" w:rsidR="00DC4887" w:rsidRPr="00786576" w:rsidRDefault="00DC4887" w:rsidP="003D253A">
      <w:pPr>
        <w:pStyle w:val="Style1"/>
        <w:rPr>
          <w:bCs w:val="0"/>
          <w:lang w:eastAsia="bs-Latn-BA"/>
        </w:rPr>
      </w:pPr>
      <w:bookmarkStart w:id="2" w:name="_Toc25139533"/>
      <w:r w:rsidRPr="00786576">
        <w:rPr>
          <w:bCs w:val="0"/>
          <w:iCs w:val="0"/>
          <w:szCs w:val="24"/>
        </w:rPr>
        <w:t xml:space="preserve">1.1.     Bruto plate i naknade </w:t>
      </w:r>
      <w:proofErr w:type="spellStart"/>
      <w:r w:rsidRPr="00786576">
        <w:rPr>
          <w:bCs w:val="0"/>
          <w:iCs w:val="0"/>
          <w:szCs w:val="24"/>
        </w:rPr>
        <w:t>zaposlenima</w:t>
      </w:r>
      <w:bookmarkEnd w:id="2"/>
      <w:proofErr w:type="spellEnd"/>
    </w:p>
    <w:p w14:paraId="42A9A4A5" w14:textId="5FC952DF" w:rsidR="00020B71" w:rsidRPr="00786576" w:rsidRDefault="00DC4887" w:rsidP="00DC4887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FERK je u Prijedlogu budžeta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</w:t>
      </w:r>
      <w:r w:rsidR="00AE5A3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godinu na stavci bruto plata i naknada plata 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zaposlenima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planirao iznos od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2.</w:t>
      </w:r>
      <w:r w:rsidR="00AE151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276.507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,00 KM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, što predstavlja </w:t>
      </w:r>
      <w:r w:rsidR="00AE5A35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povećanj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e </w:t>
      </w:r>
      <w:r w:rsidR="00AE5A35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za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AE151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7,69</w:t>
      </w:r>
      <w:r w:rsidR="00AE5A35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%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 odnosu na </w:t>
      </w:r>
      <w:r w:rsidR="00D643D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Budžet</w:t>
      </w:r>
      <w:r w:rsidR="00D643DF" w:rsidRPr="00786576" w:rsidDel="00144C61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proofErr w:type="spellStart"/>
      <w:r w:rsidR="00D643D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="00D643D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2021. godinu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.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020B7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Razlozi za povećanje su sljedeći: </w:t>
      </w:r>
    </w:p>
    <w:p w14:paraId="35547806" w14:textId="1F529DD2" w:rsidR="00020B71" w:rsidRPr="00786576" w:rsidRDefault="00020B71" w:rsidP="00DC4887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-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lanirana stavka je </w:t>
      </w:r>
      <w:proofErr w:type="spellStart"/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usklađena</w:t>
      </w:r>
      <w:proofErr w:type="spellEnd"/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sa povećanjem prosje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č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nih plata u Federaciji BiH, gdje je došlo do povećanja </w:t>
      </w:r>
      <w:r w:rsidR="00AE151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4,05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% u odnosu na podatak iz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desetog mjeseca 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202</w:t>
      </w:r>
      <w:r w:rsidR="00036B4B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0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.</w:t>
      </w:r>
      <w:r w:rsidR="009454D5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godine</w:t>
      </w:r>
      <w:r w:rsidR="00482DD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</w:t>
      </w:r>
      <w:r w:rsidR="00715BB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AE151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što je 12 mjeseci u momentu izrade ovog prijedloga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, 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te je 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trend prosječnih plata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 Federacij</w:t>
      </w:r>
      <w:r w:rsidR="00482DD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i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BiH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i dalje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rastući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, 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kako do kraja 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2021.</w:t>
      </w:r>
      <w:r w:rsidR="00482DD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godine tako i u 2022.</w:t>
      </w:r>
      <w:r w:rsidR="009454D5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61068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godini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;</w:t>
      </w:r>
    </w:p>
    <w:p w14:paraId="62FAA26F" w14:textId="02DB17DE" w:rsidR="00715BBD" w:rsidRPr="00786576" w:rsidRDefault="00715BBD" w:rsidP="00DC4887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-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N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aknade za</w:t>
      </w:r>
      <w:r w:rsidR="0006081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pomoć u slučaju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smrti </w:t>
      </w:r>
      <w:r w:rsidR="0006081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su prebačene  na oporezive naknade, i </w:t>
      </w:r>
      <w:proofErr w:type="spellStart"/>
      <w:r w:rsidR="0006081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pove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ć</w:t>
      </w:r>
      <w:r w:rsidR="0006081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ale</w:t>
      </w:r>
      <w:proofErr w:type="spellEnd"/>
      <w:r w:rsidR="0006081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su ukupan iznos za 14.490,00 KM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;</w:t>
      </w:r>
    </w:p>
    <w:p w14:paraId="501A557C" w14:textId="20402414" w:rsidR="00715BBD" w:rsidRPr="00786576" w:rsidRDefault="00715BBD" w:rsidP="00DC4887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-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M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inuli staž zaposlenih se svake godine povećava za 0,6% za sve zaposlene na godišnjem nivou.</w:t>
      </w:r>
    </w:p>
    <w:p w14:paraId="5B69D353" w14:textId="52E9A765" w:rsidR="00DC4887" w:rsidRPr="00786576" w:rsidRDefault="00715BBD" w:rsidP="00DC4887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Sve navedeno je ut</w:t>
      </w:r>
      <w:r w:rsidR="00E924F2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i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calo na ukupno povećanje Bruto plata i naknada zaposlenih kako je naprijed naveden</w:t>
      </w:r>
      <w:r w:rsidR="00D643D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o.</w:t>
      </w:r>
    </w:p>
    <w:p w14:paraId="0A355982" w14:textId="283DD5F7" w:rsidR="00DC4887" w:rsidRPr="00786576" w:rsidRDefault="00DC4887" w:rsidP="003D253A">
      <w:pPr>
        <w:pStyle w:val="Style1"/>
        <w:rPr>
          <w:bCs w:val="0"/>
          <w:iCs w:val="0"/>
        </w:rPr>
      </w:pPr>
      <w:bookmarkStart w:id="3" w:name="_Toc25139534"/>
      <w:r w:rsidRPr="00786576">
        <w:rPr>
          <w:bCs w:val="0"/>
          <w:iCs w:val="0"/>
          <w:szCs w:val="24"/>
        </w:rPr>
        <w:t>1.2.     Naknade troškova zaposlenih</w:t>
      </w:r>
      <w:bookmarkEnd w:id="3"/>
      <w:r w:rsidRPr="00786576">
        <w:rPr>
          <w:bCs w:val="0"/>
          <w:iCs w:val="0"/>
          <w:szCs w:val="24"/>
          <w:highlight w:val="yellow"/>
        </w:rPr>
        <w:t xml:space="preserve"> </w:t>
      </w:r>
    </w:p>
    <w:p w14:paraId="38CBD7FD" w14:textId="31D9BF44" w:rsidR="009560E8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Na stavci naknada troškova zaposlenih u Prijedlogu budžeta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</w:t>
      </w:r>
      <w:r w:rsidR="0006081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8D61B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godinu planiran je iznos od </w:t>
      </w:r>
      <w:r w:rsidR="002708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207.800,00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KM, što predstavlja povećanje za </w:t>
      </w:r>
      <w:r w:rsidR="0027086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18,89</w:t>
      </w:r>
      <w:r w:rsidR="0006081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odnosu na</w:t>
      </w:r>
      <w:r w:rsidRPr="00786576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144C6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Budžet</w:t>
      </w:r>
      <w:r w:rsidR="00144C61" w:rsidRPr="00786576" w:rsidDel="00144C61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</w:t>
      </w:r>
      <w:r w:rsidR="000F169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="0006081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godinu. Do povećanja je došlo prije svega </w:t>
      </w:r>
      <w:r w:rsidR="009350A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iz razloga što</w:t>
      </w:r>
      <w:r w:rsidR="009560E8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:</w:t>
      </w:r>
      <w:r w:rsidR="009350A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45B6765E" w14:textId="446C4560" w:rsidR="009560E8" w:rsidRPr="00786576" w:rsidRDefault="009560E8" w:rsidP="009560E8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-</w:t>
      </w:r>
      <w:r w:rsidR="008D61B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N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a stavci otpremnina zbog odlaska u penziju u 2022. godini su planirana sredstva u iznosu od 40.000,00 KM, 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a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u prošloj godini nisu bila planirana ta sredstva</w:t>
      </w:r>
      <w:r w:rsidR="008D61B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;</w:t>
      </w:r>
    </w:p>
    <w:p w14:paraId="36D1B338" w14:textId="1EBDA280" w:rsidR="009560E8" w:rsidRPr="00786576" w:rsidRDefault="009560E8" w:rsidP="009560E8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-</w:t>
      </w:r>
      <w:r w:rsidR="008D61B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N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aknade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koje se vežu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za 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prosječne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plate, topli obrok i regres, 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su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proofErr w:type="spellStart"/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pove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ć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an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e</w:t>
      </w:r>
      <w:proofErr w:type="spellEnd"/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u skladu sa prosječnim 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pove</w:t>
      </w:r>
      <w:r w:rsidR="00890A67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ć</w:t>
      </w:r>
      <w:r w:rsidR="00F12F8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anjem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plata u FBiH.</w:t>
      </w:r>
    </w:p>
    <w:p w14:paraId="222A40CF" w14:textId="7333AB89" w:rsidR="00DC4887" w:rsidRPr="00786576" w:rsidRDefault="00DC4887" w:rsidP="003D253A">
      <w:pPr>
        <w:pStyle w:val="Style1"/>
        <w:rPr>
          <w:bCs w:val="0"/>
          <w:iCs w:val="0"/>
        </w:rPr>
      </w:pPr>
      <w:bookmarkStart w:id="4" w:name="_Toc25139535"/>
      <w:r w:rsidRPr="00786576">
        <w:rPr>
          <w:bCs w:val="0"/>
          <w:iCs w:val="0"/>
          <w:szCs w:val="24"/>
        </w:rPr>
        <w:t>1.3. Doprinosi poslodavca</w:t>
      </w:r>
      <w:bookmarkEnd w:id="4"/>
      <w:r w:rsidRPr="00786576">
        <w:rPr>
          <w:bCs w:val="0"/>
          <w:iCs w:val="0"/>
          <w:szCs w:val="24"/>
        </w:rPr>
        <w:t xml:space="preserve"> </w:t>
      </w:r>
    </w:p>
    <w:p w14:paraId="4A04FD78" w14:textId="14ACAA7A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Na stavci doprinosa poslodavca u Prijedlogu budžeta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</w:t>
      </w:r>
      <w:r w:rsidR="009560E8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godinu planiran je iznos od 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258.270,00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KM što je</w:t>
      </w:r>
      <w:r w:rsidR="009560E8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povećanje za 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7,69</w:t>
      </w:r>
      <w:r w:rsidR="009560E8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%</w:t>
      </w:r>
      <w:r w:rsidR="00641410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 o</w:t>
      </w:r>
      <w:r w:rsidR="009560E8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dnosu na </w:t>
      </w:r>
      <w:r w:rsidR="000A124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Budžet</w:t>
      </w:r>
      <w:r w:rsidR="000A124C" w:rsidRPr="00786576" w:rsidDel="00144C61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proofErr w:type="spellStart"/>
      <w:r w:rsidR="000A124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="000A124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2021. godinu</w:t>
      </w:r>
      <w:r w:rsidR="009560E8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</w:t>
      </w:r>
      <w:r w:rsidR="00641410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0A124C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zbog</w:t>
      </w:r>
      <w:r w:rsidR="00641410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0A124C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usklađivanja </w:t>
      </w:r>
      <w:r w:rsidR="00641410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sa povećanjem plata i naknada zaposlenih koje su oporezive.</w:t>
      </w:r>
      <w:r w:rsidR="009560E8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</w:p>
    <w:p w14:paraId="10384BF6" w14:textId="225CB9C6" w:rsidR="00DC4887" w:rsidRPr="00786576" w:rsidRDefault="00DC4887" w:rsidP="003D253A">
      <w:pPr>
        <w:pStyle w:val="Style1"/>
        <w:rPr>
          <w:highlight w:val="yellow"/>
        </w:rPr>
      </w:pPr>
      <w:bookmarkStart w:id="5" w:name="_Toc25139536"/>
      <w:r w:rsidRPr="00786576">
        <w:rPr>
          <w:bCs w:val="0"/>
          <w:iCs w:val="0"/>
          <w:szCs w:val="24"/>
        </w:rPr>
        <w:t>1.4.     Izdaci za materijal i usluge</w:t>
      </w:r>
      <w:bookmarkEnd w:id="5"/>
    </w:p>
    <w:p w14:paraId="16BBF32E" w14:textId="58EE2207" w:rsidR="00DC4887" w:rsidRPr="00786576" w:rsidRDefault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Na stavci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izdaci za materijal i usluge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planiran je iznos od </w:t>
      </w:r>
      <w:r w:rsidR="00641410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524.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689</w:t>
      </w:r>
      <w:r w:rsidR="00641410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,00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,00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KM, što predstavlja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neznatno povećanje za 0,5</w:t>
      </w:r>
      <w:r w:rsidR="009B607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8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 u odnosu na predhodnu godinu.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1AD2A74C" w14:textId="2A6F190E" w:rsidR="00D24FF1" w:rsidRPr="00786576" w:rsidRDefault="00D24FF1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 nastavku su navedene osnovne karakteristike kretanja pojedinih izdataka</w:t>
      </w:r>
      <w:r w:rsidR="00F12F8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unutar ovih troškova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448131AD" w14:textId="77777777" w:rsidR="00DC4887" w:rsidRPr="00786576" w:rsidRDefault="00DC4887" w:rsidP="00DC4887">
      <w:pPr>
        <w:pStyle w:val="Style2"/>
        <w:jc w:val="both"/>
      </w:pPr>
      <w:r w:rsidRPr="00786576">
        <w:lastRenderedPageBreak/>
        <w:t xml:space="preserve">         </w:t>
      </w:r>
      <w:bookmarkStart w:id="6" w:name="_Toc25139537"/>
      <w:r w:rsidRPr="00786576">
        <w:t>1.4.1.  Putni troškovi</w:t>
      </w:r>
      <w:bookmarkEnd w:id="6"/>
      <w:r w:rsidRPr="00786576">
        <w:t xml:space="preserve"> </w:t>
      </w:r>
    </w:p>
    <w:p w14:paraId="2B5B944A" w14:textId="0E4DEB0C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Putni troškovi su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poveća</w:t>
      </w:r>
      <w:r w:rsidR="00C0420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za</w:t>
      </w:r>
      <w:r w:rsidR="00D24FF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9B607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2,00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</w:t>
      </w:r>
      <w:r w:rsidR="00D24FF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odnosu na </w:t>
      </w:r>
      <w:r w:rsidR="00954E3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Budžet </w:t>
      </w:r>
      <w:proofErr w:type="spellStart"/>
      <w:r w:rsidR="00954E3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="00954E37" w:rsidRPr="00786576" w:rsidDel="00954E3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D24FF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za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2021</w:t>
      </w:r>
      <w:r w:rsidR="00D24FF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A55DE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godinu</w:t>
      </w:r>
      <w:r w:rsidR="00C0420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73549792" w14:textId="77777777" w:rsidR="00DC4887" w:rsidRPr="00786576" w:rsidRDefault="00DC4887" w:rsidP="00DC4887">
      <w:pPr>
        <w:pStyle w:val="Style2"/>
        <w:jc w:val="both"/>
      </w:pPr>
      <w:r w:rsidRPr="00786576">
        <w:t xml:space="preserve">         </w:t>
      </w:r>
      <w:bookmarkStart w:id="7" w:name="_Toc25139538"/>
      <w:r w:rsidRPr="00786576">
        <w:t>1.4.2.  Izdaci za energiju</w:t>
      </w:r>
      <w:bookmarkEnd w:id="7"/>
    </w:p>
    <w:p w14:paraId="0F47C131" w14:textId="69E39A00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Izdaci za energiju su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pove</w:t>
      </w:r>
      <w:r w:rsidR="00C0420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ć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a</w:t>
      </w:r>
      <w:r w:rsidR="00C0420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za </w:t>
      </w:r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16,67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%, uzimajući u obzir ostvarene troškove za električnu energiju u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2021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D9187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godini </w:t>
      </w:r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poslovnom prostoru, </w:t>
      </w:r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te činjenicu da se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</w:t>
      </w:r>
      <w:r w:rsidR="004F127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prethodnoj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godini duži pe</w:t>
      </w:r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riod rad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obavljao od kuće, </w:t>
      </w:r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zbog </w:t>
      </w:r>
      <w:proofErr w:type="spellStart"/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pandemije</w:t>
      </w:r>
      <w:proofErr w:type="spellEnd"/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6414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pa su troškovi bili niži od onih koji bi bili da se stalno radilo u poslovnim prostorijama.</w:t>
      </w:r>
      <w:r w:rsidR="009E752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4ECB1FBC" w14:textId="77777777" w:rsidR="00DC4887" w:rsidRPr="00786576" w:rsidRDefault="00DC4887" w:rsidP="00DC4887">
      <w:pPr>
        <w:pStyle w:val="Style2"/>
        <w:jc w:val="both"/>
      </w:pPr>
      <w:r w:rsidRPr="00786576">
        <w:t xml:space="preserve">         </w:t>
      </w:r>
      <w:bookmarkStart w:id="8" w:name="_Toc25139539"/>
      <w:r w:rsidRPr="00786576">
        <w:t>1.4.3.  Izdaci za komunalne usluge i komunikacije</w:t>
      </w:r>
      <w:bookmarkEnd w:id="8"/>
    </w:p>
    <w:p w14:paraId="618D4C35" w14:textId="03E45BB6" w:rsidR="00DC4887" w:rsidRPr="00786576" w:rsidRDefault="00DC4887" w:rsidP="00DC4887">
      <w:pPr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Izdaci za komunalne usluge i komunikacije su se </w:t>
      </w:r>
      <w:r w:rsidR="009E752E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pove</w:t>
      </w:r>
      <w:r w:rsidR="00C0420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ć</w:t>
      </w:r>
      <w:r w:rsidR="009E752E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a</w:t>
      </w:r>
      <w:r w:rsidR="00C0420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n</w:t>
      </w:r>
      <w:r w:rsidR="009E752E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i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za </w:t>
      </w:r>
      <w:r w:rsidR="009438C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svega 0,</w:t>
      </w:r>
      <w:r w:rsidR="009E752E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47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%</w:t>
      </w:r>
      <w:r w:rsidR="009E752E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9438C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. </w:t>
      </w:r>
    </w:p>
    <w:p w14:paraId="04B17017" w14:textId="46FC7A14" w:rsidR="00DC4887" w:rsidRPr="00786576" w:rsidRDefault="00A55DE1" w:rsidP="00DC4887">
      <w:pPr>
        <w:pStyle w:val="Style2"/>
        <w:jc w:val="both"/>
      </w:pPr>
      <w:r w:rsidRPr="00786576">
        <w:t xml:space="preserve">         </w:t>
      </w:r>
      <w:bookmarkStart w:id="9" w:name="_Toc25139540"/>
      <w:r w:rsidR="00DC4887" w:rsidRPr="00786576">
        <w:t>1.4.4. Izdaci za nabavku administrativnog materijala</w:t>
      </w:r>
      <w:bookmarkEnd w:id="9"/>
      <w:r w:rsidR="00DC4887" w:rsidRPr="00786576">
        <w:t xml:space="preserve"> </w:t>
      </w:r>
    </w:p>
    <w:p w14:paraId="2625C5E0" w14:textId="7976F7AE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Izdaci za administrativni materijal su </w:t>
      </w:r>
      <w:r w:rsidR="009438C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smanj</w:t>
      </w:r>
      <w:r w:rsidR="00C0420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eni</w:t>
      </w:r>
      <w:r w:rsidR="009438C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 </w:t>
      </w:r>
      <w:r w:rsidR="00D24FF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za </w:t>
      </w:r>
      <w:r w:rsidR="009B607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9,62</w:t>
      </w:r>
      <w:r w:rsidR="00D24FF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% </w:t>
      </w:r>
      <w:r w:rsidR="00A848F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uzimajući</w:t>
      </w:r>
      <w:r w:rsidR="00A659F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obzir realne </w:t>
      </w:r>
      <w:r w:rsidR="00B7427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izdatke </w:t>
      </w:r>
      <w:r w:rsidR="00A659F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 </w:t>
      </w:r>
      <w:r w:rsidR="009438CB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2021</w:t>
      </w:r>
      <w:r w:rsidR="00A659F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2F3DF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A659F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godine</w:t>
      </w:r>
      <w:r w:rsidR="00A55DE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1224D99A" w14:textId="1D0C1EAC" w:rsidR="00DC4887" w:rsidRPr="00786576" w:rsidRDefault="00086271" w:rsidP="00DC4887">
      <w:pPr>
        <w:pStyle w:val="Style2"/>
        <w:jc w:val="both"/>
        <w:rPr>
          <w:lang w:eastAsia="bs-Latn-BA"/>
        </w:rPr>
      </w:pPr>
      <w:r w:rsidRPr="00786576">
        <w:rPr>
          <w:lang w:eastAsia="bs-Latn-BA"/>
        </w:rPr>
        <w:t xml:space="preserve">          </w:t>
      </w:r>
      <w:bookmarkStart w:id="10" w:name="_Toc25139541"/>
      <w:r w:rsidR="00DC4887" w:rsidRPr="00786576">
        <w:rPr>
          <w:lang w:eastAsia="bs-Latn-BA"/>
        </w:rPr>
        <w:t>1.4.5.</w:t>
      </w:r>
      <w:r w:rsidR="00DC4887" w:rsidRPr="00786576">
        <w:t xml:space="preserve">  </w:t>
      </w:r>
      <w:r w:rsidR="00DC4887" w:rsidRPr="00786576">
        <w:rPr>
          <w:lang w:eastAsia="bs-Latn-BA"/>
        </w:rPr>
        <w:t>Izdaci za usluge prevoza i goriva</w:t>
      </w:r>
      <w:bookmarkEnd w:id="10"/>
    </w:p>
    <w:p w14:paraId="2ABC9767" w14:textId="6A8A9C3B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Izdaci za gorivo i prevoz su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smanj</w:t>
      </w:r>
      <w:r w:rsidR="00C0420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eni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za 1,82%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</w:t>
      </w:r>
      <w:r w:rsidR="00C56AB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 odnosu na 2021. godinu.</w:t>
      </w:r>
      <w:r w:rsidR="003F047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F15772" w:rsidRPr="00786576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Smanjenje se ustvari odnosi na troškove registracije automobila, dok su troškovi goriva ostali na istom nivou kao i 2021. godine. 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U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2022.</w:t>
      </w:r>
      <w:r w:rsidR="005D643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godini očekuje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se 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normalizacija rada,</w:t>
      </w:r>
      <w:r w:rsidR="009B607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a š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to će rezultirati povećanim putovanjima za nadgledanje i obavljanje drugih ak</w:t>
      </w:r>
      <w:r w:rsidR="00F8626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t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ivnosti vezanih za putovanja. Takođe</w:t>
      </w:r>
      <w:r w:rsidR="00F8626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uzeo</w:t>
      </w:r>
      <w:r w:rsidR="00F8626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se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 obzir trend rasta cijen</w:t>
      </w:r>
      <w:r w:rsidR="005D643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a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goriva u posljednjem periodu i ne zna se kada će se zaustaviti.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Zbog svega navedenog taj trošak je planiran na istom nivou ka</w:t>
      </w:r>
      <w:r w:rsidR="00F8626F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o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i </w:t>
      </w:r>
      <w:r w:rsidR="004F1275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prethodne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godine</w:t>
      </w:r>
      <w:r w:rsidR="005D643B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.</w:t>
      </w:r>
      <w:r w:rsidR="00D853C6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</w:p>
    <w:p w14:paraId="20091593" w14:textId="77777777" w:rsidR="00DC4887" w:rsidRPr="00786576" w:rsidRDefault="00DC4887" w:rsidP="00DC4887">
      <w:pPr>
        <w:pStyle w:val="Style2"/>
        <w:jc w:val="both"/>
      </w:pPr>
      <w:r w:rsidRPr="00786576">
        <w:tab/>
      </w:r>
      <w:bookmarkStart w:id="11" w:name="_Toc25139542"/>
      <w:r w:rsidRPr="00786576">
        <w:t>1.4.6.  Izdaci za unajmljivanje imovine i opreme</w:t>
      </w:r>
      <w:bookmarkEnd w:id="11"/>
      <w:r w:rsidRPr="00786576">
        <w:t xml:space="preserve"> </w:t>
      </w:r>
    </w:p>
    <w:p w14:paraId="47682915" w14:textId="57C06412" w:rsidR="00A659F4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Izdaci za unajmljivanje imovine</w:t>
      </w:r>
      <w:r w:rsidR="00A659F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su</w:t>
      </w:r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smanj</w:t>
      </w:r>
      <w:r w:rsidR="008D345A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eni</w:t>
      </w:r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3,</w:t>
      </w:r>
      <w:r w:rsidR="00955C0A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72</w:t>
      </w:r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</w:t>
      </w:r>
      <w:r w:rsidR="008D345A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a što je rezultat pregovora sa </w:t>
      </w:r>
      <w:proofErr w:type="spellStart"/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zakupodavcem</w:t>
      </w:r>
      <w:proofErr w:type="spellEnd"/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kod kojeg FERK iznajmljuje poslovni prostor</w:t>
      </w:r>
      <w:r w:rsidR="00666E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7F6B8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261BAC20" w14:textId="77777777" w:rsidR="00DC4887" w:rsidRPr="00786576" w:rsidRDefault="00DC4887" w:rsidP="00DC4887">
      <w:pPr>
        <w:pStyle w:val="Style2"/>
        <w:jc w:val="both"/>
      </w:pPr>
      <w:r w:rsidRPr="00786576">
        <w:tab/>
      </w:r>
      <w:bookmarkStart w:id="12" w:name="_Toc25139543"/>
      <w:r w:rsidRPr="00786576">
        <w:t xml:space="preserve">1.4.7.  Izdaci za materijal i usluge </w:t>
      </w:r>
      <w:proofErr w:type="spellStart"/>
      <w:r w:rsidRPr="00786576">
        <w:t>opravki</w:t>
      </w:r>
      <w:proofErr w:type="spellEnd"/>
      <w:r w:rsidRPr="00786576">
        <w:t xml:space="preserve"> i održavanja</w:t>
      </w:r>
      <w:bookmarkEnd w:id="12"/>
      <w:r w:rsidRPr="00786576">
        <w:t xml:space="preserve"> </w:t>
      </w:r>
    </w:p>
    <w:p w14:paraId="0EA71926" w14:textId="1C878527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Izdaci za materijal i usluge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opravki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i održavanja su se </w:t>
      </w:r>
      <w:r w:rsidR="005700F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smanjili 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za </w:t>
      </w:r>
      <w:r w:rsidR="001F10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15,66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 uzimajući u obzir kretanje istih troškova u 20</w:t>
      </w:r>
      <w:r w:rsidR="00A659F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</w:t>
      </w:r>
      <w:r w:rsidR="00A55DE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godini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3B7C9242" w14:textId="77777777" w:rsidR="00DC4887" w:rsidRPr="00786576" w:rsidRDefault="00DC4887" w:rsidP="00DC4887">
      <w:pPr>
        <w:pStyle w:val="Style2"/>
        <w:jc w:val="both"/>
        <w:rPr>
          <w:lang w:eastAsia="bs-Latn-BA"/>
        </w:rPr>
      </w:pPr>
      <w:r w:rsidRPr="00786576">
        <w:tab/>
      </w:r>
      <w:bookmarkStart w:id="13" w:name="_Toc25139544"/>
      <w:r w:rsidRPr="00786576">
        <w:t xml:space="preserve">1.4.8.  </w:t>
      </w:r>
      <w:r w:rsidRPr="00786576">
        <w:rPr>
          <w:lang w:eastAsia="bs-Latn-BA"/>
        </w:rPr>
        <w:t xml:space="preserve">Izdaci osiguranja, </w:t>
      </w:r>
      <w:proofErr w:type="spellStart"/>
      <w:r w:rsidRPr="00786576">
        <w:rPr>
          <w:lang w:eastAsia="bs-Latn-BA"/>
        </w:rPr>
        <w:t>bankarskih</w:t>
      </w:r>
      <w:proofErr w:type="spellEnd"/>
      <w:r w:rsidRPr="00786576">
        <w:rPr>
          <w:lang w:eastAsia="bs-Latn-BA"/>
        </w:rPr>
        <w:t xml:space="preserve"> usluga i usluga platnog prometa</w:t>
      </w:r>
      <w:bookmarkEnd w:id="13"/>
      <w:r w:rsidRPr="00786576">
        <w:rPr>
          <w:lang w:eastAsia="bs-Latn-BA"/>
        </w:rPr>
        <w:t xml:space="preserve"> </w:t>
      </w:r>
    </w:p>
    <w:p w14:paraId="3503C472" w14:textId="3DBF0B61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Izdaci osiguranja, </w:t>
      </w:r>
      <w:proofErr w:type="spellStart"/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bankarskih</w:t>
      </w:r>
      <w:proofErr w:type="spellEnd"/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usluga i usluga platnog prometa su</w:t>
      </w:r>
      <w:r w:rsidR="00E778DC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poveća</w:t>
      </w:r>
      <w:r w:rsidR="00AE38B4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n</w:t>
      </w:r>
      <w:r w:rsidR="00E778DC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i 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za 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6,04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%, prije svega zbog povećanja osnovnih sredstava tokom 202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godine koja se osiguravaju u skladu sa zakonskom regulativom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 Takođe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kod planiranja ovih izdataka imalo se u vidu</w:t>
      </w:r>
      <w:r w:rsidR="00C56AB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trend kretanja 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cijene svih </w:t>
      </w:r>
      <w:r w:rsidR="00C56AB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usluga k</w:t>
      </w:r>
      <w:r w:rsidR="00E021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</w:t>
      </w:r>
      <w:r w:rsidR="00C56AB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je su u </w:t>
      </w:r>
      <w:proofErr w:type="spellStart"/>
      <w:r w:rsidR="00C56AB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uzlaznoj</w:t>
      </w:r>
      <w:proofErr w:type="spellEnd"/>
      <w:r w:rsidR="00C56AB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putanji. </w:t>
      </w:r>
    </w:p>
    <w:p w14:paraId="7D298335" w14:textId="51451697" w:rsidR="00086271" w:rsidRPr="00786576" w:rsidRDefault="00DC4887" w:rsidP="00DC4887">
      <w:pPr>
        <w:pStyle w:val="Style2"/>
        <w:jc w:val="both"/>
      </w:pPr>
      <w:r w:rsidRPr="00786576">
        <w:t xml:space="preserve">     </w:t>
      </w:r>
      <w:r w:rsidRPr="00786576">
        <w:tab/>
      </w:r>
      <w:bookmarkStart w:id="14" w:name="_Toc25139545"/>
      <w:r w:rsidRPr="00786576">
        <w:t>1.4.9.  Izdaci za ugovorene i druge posebne usluge</w:t>
      </w:r>
      <w:bookmarkEnd w:id="14"/>
      <w:r w:rsidRPr="00786576">
        <w:t xml:space="preserve"> </w:t>
      </w:r>
    </w:p>
    <w:p w14:paraId="07E01FE5" w14:textId="0D839279" w:rsidR="00DC4887" w:rsidRPr="00786576" w:rsidRDefault="00DC4887" w:rsidP="00FD43EF">
      <w:pPr>
        <w:spacing w:before="120"/>
        <w:ind w:hanging="284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ab/>
        <w:t>Izdaci za ugovorene i druge posebne usluge su poveća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 za </w:t>
      </w:r>
      <w:r w:rsidR="001F10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12,56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</w:t>
      </w:r>
      <w:r w:rsidR="00955C0A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uglavnom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zbog 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povećanja iz</w:t>
      </w:r>
      <w:r w:rsidR="006B7B8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dataka na stavci oglašavanja u „S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lužbenim novinama Federacije BiH</w:t>
      </w:r>
      <w:r w:rsidR="006B7B8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“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i na stavci dnevne štampe. Takođe u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rije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d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logu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udžeta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2022.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godinu su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planirana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sredstva za sistematske preglede radnika, a </w:t>
      </w:r>
      <w:proofErr w:type="spellStart"/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izdatka</w:t>
      </w:r>
      <w:proofErr w:type="spellEnd"/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tu svrhu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4F127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prethodne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godine nije bilo,</w:t>
      </w:r>
      <w:r w:rsidR="004812F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dok je na svim drugim stavkama u ovoj grupi izdataka došlo do malih smanjenja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29152386" w14:textId="77777777" w:rsidR="00086271" w:rsidRPr="00786576" w:rsidRDefault="00086271" w:rsidP="00666E1F">
      <w:pPr>
        <w:spacing w:before="12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14:paraId="621693E7" w14:textId="628071B9" w:rsidR="00086271" w:rsidRPr="00786576" w:rsidRDefault="00DC4887" w:rsidP="009D6057">
      <w:pPr>
        <w:pStyle w:val="Style1"/>
        <w:jc w:val="both"/>
        <w:rPr>
          <w:szCs w:val="24"/>
        </w:rPr>
      </w:pPr>
      <w:bookmarkStart w:id="15" w:name="_Toc25139546"/>
      <w:r w:rsidRPr="00786576">
        <w:rPr>
          <w:szCs w:val="24"/>
        </w:rPr>
        <w:lastRenderedPageBreak/>
        <w:t xml:space="preserve">1.5. </w:t>
      </w:r>
      <w:r w:rsidR="00772CE0" w:rsidRPr="00786576">
        <w:rPr>
          <w:szCs w:val="24"/>
        </w:rPr>
        <w:t xml:space="preserve">      </w:t>
      </w:r>
      <w:r w:rsidRPr="00786576">
        <w:rPr>
          <w:szCs w:val="24"/>
        </w:rPr>
        <w:t>Kapitalni rashodi</w:t>
      </w:r>
      <w:bookmarkEnd w:id="15"/>
    </w:p>
    <w:p w14:paraId="247A94B5" w14:textId="6E0971FF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Na stavci kapitalnih rashoda planiran je iznos od </w:t>
      </w:r>
      <w:r w:rsidR="00871B2D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520.000,00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KM, što predstavlja 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smanjenje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od 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29,44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% u odnosu na </w:t>
      </w:r>
      <w:r w:rsidR="006D453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udžet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</w:t>
      </w:r>
      <w:r w:rsidR="00871B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2021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9454D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godinu. </w:t>
      </w:r>
    </w:p>
    <w:p w14:paraId="0DA7AB04" w14:textId="3593D0B7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Na stavci nabavke opreme planiran je iznos od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75.000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,00 KM</w:t>
      </w:r>
      <w:r w:rsidR="00D853C6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što predstavlja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smanjenje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 odnosu na </w:t>
      </w:r>
      <w:r w:rsidR="006D453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udžet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</w:t>
      </w:r>
      <w:r w:rsidR="0053106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godinu za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6,25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%, i odnosi se na planirano inoviranje stare opreme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 te nabavk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opreme koja će olakšati obavljanje svakodnevnih obaveza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 te biti u skladu sa razvojnim tehnologijama.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745861F6" w14:textId="7F64DA5B" w:rsidR="00DC4887" w:rsidRPr="00786576" w:rsidRDefault="00DC488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Na stavci nabavke stalnih sredstava u obliku prava planiran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je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iznos od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45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.000,00 KM</w:t>
      </w:r>
      <w:r w:rsidR="00D853C6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što predstavlja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smanjenje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 odnosu na </w:t>
      </w:r>
      <w:r w:rsidR="006D4532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udžet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godinu za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4,26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% i odnosi se na nabavke novih verzija postojećih softvera 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 novih licenci koje će </w:t>
      </w:r>
      <w:r w:rsidR="0053106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omogućiti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i</w:t>
      </w:r>
      <w:r w:rsidR="0053106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proofErr w:type="spellStart"/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online</w:t>
      </w:r>
      <w:proofErr w:type="spellEnd"/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rad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proofErr w:type="spellStart"/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</w:t>
      </w:r>
      <w:r w:rsidR="0053106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-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</w:t>
      </w:r>
      <w:proofErr w:type="spellEnd"/>
      <w:r w:rsidR="007E6E8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E778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58ECFD5B" w14:textId="65245AF5" w:rsidR="00DC4887" w:rsidRPr="00786576" w:rsidRDefault="007E6E8F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Na kapitalnim ulaganjima nema nabavke niti zamjene starih automobila</w:t>
      </w:r>
      <w:r w:rsidR="0053106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kao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ni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Budžetu </w:t>
      </w:r>
      <w:proofErr w:type="spellStart"/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FERK-a</w:t>
      </w:r>
      <w:proofErr w:type="spellEnd"/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2021.</w:t>
      </w:r>
      <w:r w:rsidR="00E021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godinu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iako su neki automobili po starosti </w:t>
      </w:r>
      <w:r w:rsidR="0053106E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već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dospjeli za zamjenu. Imajući u vidu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sveopštu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situaciju u privredi Federacije BiH, ova nabavka je</w:t>
      </w:r>
      <w:r w:rsidR="00AE38B4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ostavljena za bolja vremena</w:t>
      </w:r>
      <w:r w:rsidR="00B9313A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16C07C3B" w14:textId="19BB097C" w:rsidR="00DC4887" w:rsidRPr="00786576" w:rsidRDefault="00DC4887" w:rsidP="00DC4887">
      <w:pPr>
        <w:rPr>
          <w:rFonts w:ascii="Times New Roman" w:hAnsi="Times New Roman" w:cs="Times New Roman"/>
          <w:bCs/>
          <w:iCs/>
          <w:color w:val="FF0000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Na stavci nabavke zemljišta i građevina planiran je iznos</w:t>
      </w:r>
      <w:r w:rsidR="00C560C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ovoj godini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od </w:t>
      </w:r>
      <w:r w:rsidR="0039301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4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00.000,00 KM</w:t>
      </w:r>
      <w:r w:rsidR="001F10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F48D3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za trajno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rješavanje izgradnje poslovnog prostora </w:t>
      </w:r>
      <w:proofErr w:type="spellStart"/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FERK-a</w:t>
      </w:r>
      <w:proofErr w:type="spellEnd"/>
      <w:r w:rsidR="00393013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,</w:t>
      </w:r>
      <w:r w:rsidR="00393013" w:rsidRPr="00786576">
        <w:rPr>
          <w:rFonts w:ascii="Times New Roman" w:hAnsi="Times New Roman" w:cs="Times New Roman"/>
          <w:bCs/>
          <w:color w:val="FF0000"/>
          <w:sz w:val="24"/>
          <w:szCs w:val="24"/>
          <w:lang w:val="bs-Latn-BA"/>
        </w:rPr>
        <w:t xml:space="preserve"> </w:t>
      </w:r>
      <w:r w:rsidR="00393013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a što je za 33,33% manje u odnosu na</w:t>
      </w:r>
      <w:r w:rsidR="00C560C1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Budžete iz predhodnih godina.</w:t>
      </w:r>
      <w:r w:rsidR="00393013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14:paraId="20B09FE1" w14:textId="17B69D69" w:rsidR="00DC4887" w:rsidRPr="00786576" w:rsidRDefault="00DC4887" w:rsidP="00DC4887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Parlament Federacije BiH 2015.</w:t>
      </w:r>
      <w:r w:rsidR="00E021E3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godine je donio </w:t>
      </w:r>
      <w:r w:rsidR="0053106E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Odluku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o odobravanju zahtjeva</w:t>
      </w:r>
      <w:r w:rsidRPr="00786576">
        <w:rPr>
          <w:rFonts w:ascii="Times New Roman" w:hAnsi="Times New Roman" w:cs="Times New Roman"/>
          <w:bCs/>
          <w:color w:val="FF0000"/>
          <w:sz w:val="24"/>
          <w:szCs w:val="24"/>
          <w:lang w:val="bs-Latn-BA"/>
        </w:rPr>
        <w:t xml:space="preserve"> </w:t>
      </w:r>
      <w:proofErr w:type="spellStart"/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komisije za energiju u Federaciji Bosne i Hercegovine – FERK za izgradnju poslovnog prostora u Mostaru („Službene novine Federacije BiH“ broj 102/15). U cilju realizacije donešene odluke, u Budžetu </w:t>
      </w:r>
      <w:proofErr w:type="spellStart"/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u 2016., 2017., </w:t>
      </w:r>
      <w:r w:rsidR="007E6E8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2018.,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2019.</w:t>
      </w:r>
      <w:r w:rsidR="00CC6A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, 2020.</w:t>
      </w:r>
      <w:r w:rsidR="007E6E8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i </w:t>
      </w:r>
      <w:r w:rsidR="00CC6A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2021</w:t>
      </w:r>
      <w:r w:rsidR="007E6E8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godini planirana su sredstva na stavci nabavka građevina u iznosima od 620.000,00 KM</w:t>
      </w:r>
      <w:r w:rsidR="0053106E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600.000,00 KM,</w:t>
      </w:r>
      <w:r w:rsidR="00E021E3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CC6A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600.000,00 KM,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600.000,00 KM</w:t>
      </w:r>
      <w:r w:rsidR="007E6E8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600.000,00 KM</w:t>
      </w:r>
      <w:r w:rsidR="007E6E8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i 600.000</w:t>
      </w:r>
      <w:r w:rsidR="001553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,00</w:t>
      </w:r>
      <w:r w:rsidR="007E6E8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KM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14:paraId="56AFE5A9" w14:textId="3476E8F9" w:rsidR="0053106E" w:rsidRPr="00786576" w:rsidRDefault="005A21BD" w:rsidP="00DC4887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Prijedlogu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udžeta </w:t>
      </w:r>
      <w:proofErr w:type="spellStart"/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>2022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B46E3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godinu nastavlja</w:t>
      </w:r>
      <w:r w:rsidR="001F101F" w:rsidRPr="00786576">
        <w:rPr>
          <w:rFonts w:ascii="Times New Roman" w:hAnsi="Times New Roman" w:cs="Times New Roman"/>
          <w:sz w:val="24"/>
          <w:szCs w:val="24"/>
          <w:lang w:val="bs-Latn-BA"/>
        </w:rPr>
        <w:t>ju se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planirati ova namjenska sredstva</w:t>
      </w:r>
      <w:r w:rsidR="00E021E3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ali 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proofErr w:type="spellStart"/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>umanjenom</w:t>
      </w:r>
      <w:proofErr w:type="spellEnd"/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iznosu</w:t>
      </w:r>
      <w:r w:rsidR="00E021E3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 odnosu na </w:t>
      </w:r>
      <w:r w:rsidR="004F1275" w:rsidRPr="00786576">
        <w:rPr>
          <w:rFonts w:ascii="Times New Roman" w:hAnsi="Times New Roman" w:cs="Times New Roman"/>
          <w:sz w:val="24"/>
          <w:szCs w:val="24"/>
          <w:lang w:val="bs-Latn-BA"/>
        </w:rPr>
        <w:t>prethodne</w:t>
      </w:r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 w:rsidR="00E021E3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i to u iznosu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="00CC6A1B" w:rsidRPr="00786576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DC4887" w:rsidRPr="00786576">
        <w:rPr>
          <w:rFonts w:ascii="Times New Roman" w:hAnsi="Times New Roman" w:cs="Times New Roman"/>
          <w:sz w:val="24"/>
          <w:szCs w:val="24"/>
          <w:lang w:val="bs-Latn-BA"/>
        </w:rPr>
        <w:t>00.000,00 KM</w:t>
      </w:r>
      <w:r w:rsidR="001F101F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C6A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Ovako</w:t>
      </w:r>
      <w:r w:rsidR="00DC4887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kontinuirano </w:t>
      </w:r>
      <w:r w:rsidR="001F101F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prikupljanje </w:t>
      </w:r>
      <w:r w:rsidR="00DC4887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sredstva za ovu namjenu</w:t>
      </w:r>
      <w:r w:rsidR="00CC6A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će </w:t>
      </w:r>
      <w:r w:rsidR="004816ED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eliminisati bilo kakvo</w:t>
      </w:r>
      <w:r w:rsidR="00CC6A1B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zaduživanje</w:t>
      </w:r>
      <w:r w:rsidR="00DC4887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kod poslovnih banaka za trajno rješavanje poslovnog prostora </w:t>
      </w:r>
      <w:proofErr w:type="spellStart"/>
      <w:r w:rsidR="00DC4887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FERK-a</w:t>
      </w:r>
      <w:proofErr w:type="spellEnd"/>
      <w:r w:rsidR="00DC4887" w:rsidRPr="00786576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3C9B7341" w14:textId="77777777" w:rsidR="00086271" w:rsidRPr="00786576" w:rsidRDefault="00086271" w:rsidP="00DC4887">
      <w:pPr>
        <w:rPr>
          <w:rFonts w:ascii="Times New Roman" w:hAnsi="Times New Roman" w:cs="Times New Roman"/>
          <w:bCs/>
          <w:color w:val="FF0000"/>
          <w:sz w:val="20"/>
          <w:szCs w:val="20"/>
          <w:lang w:val="bs-Latn-BA"/>
        </w:rPr>
      </w:pPr>
    </w:p>
    <w:p w14:paraId="15F37EF2" w14:textId="77777777" w:rsidR="00DC4887" w:rsidRPr="00786576" w:rsidRDefault="00DC4887" w:rsidP="00DC4887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</w:pPr>
      <w:bookmarkStart w:id="16" w:name="_Toc25139547"/>
      <w:r w:rsidRPr="00786576"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  <w:t>2. Plan prihoda</w:t>
      </w:r>
      <w:bookmarkEnd w:id="16"/>
      <w:r w:rsidRPr="00786576"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  <w:t xml:space="preserve"> </w:t>
      </w:r>
    </w:p>
    <w:p w14:paraId="3959D9F0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C4ADE07" w14:textId="1F3477C7" w:rsidR="00110F64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Ukupno planirani prihodi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4816ED" w:rsidRPr="00786576">
        <w:rPr>
          <w:rFonts w:ascii="Times New Roman" w:hAnsi="Times New Roman" w:cs="Times New Roman"/>
          <w:sz w:val="24"/>
          <w:szCs w:val="24"/>
          <w:lang w:val="bs-Latn-BA"/>
        </w:rPr>
        <w:t>2022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. godinu iznose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3.787.</w:t>
      </w:r>
      <w:r w:rsidR="00C560C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266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KM što odgovara planiranim ukupnim rashodima, a struktura planiranih prihoda data je u nastavku. </w:t>
      </w:r>
    </w:p>
    <w:tbl>
      <w:tblPr>
        <w:tblW w:w="10060" w:type="dxa"/>
        <w:tblInd w:w="-10" w:type="dxa"/>
        <w:tblLook w:val="04A0" w:firstRow="1" w:lastRow="0" w:firstColumn="1" w:lastColumn="0" w:noHBand="0" w:noVBand="1"/>
      </w:tblPr>
      <w:tblGrid>
        <w:gridCol w:w="6420"/>
        <w:gridCol w:w="1840"/>
        <w:gridCol w:w="1800"/>
      </w:tblGrid>
      <w:tr w:rsidR="00110F64" w:rsidRPr="00786576" w14:paraId="058FF41B" w14:textId="77777777" w:rsidTr="00110F64">
        <w:trPr>
          <w:trHeight w:val="300"/>
        </w:trPr>
        <w:tc>
          <w:tcPr>
            <w:tcW w:w="6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68C2688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Vrsta prihoda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9AF03ED" w14:textId="0E4669AA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Iznos 2022.</w:t>
            </w:r>
            <w:r w:rsidR="00BA64D0"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A3670BE" w14:textId="2A419B8A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Iznos 2021.</w:t>
            </w:r>
            <w:r w:rsidR="00BA64D0"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 </w:t>
            </w:r>
          </w:p>
        </w:tc>
      </w:tr>
      <w:tr w:rsidR="00110F64" w:rsidRPr="00786576" w14:paraId="0467D46F" w14:textId="77777777" w:rsidTr="00110F64">
        <w:trPr>
          <w:trHeight w:val="315"/>
        </w:trPr>
        <w:tc>
          <w:tcPr>
            <w:tcW w:w="6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4636E" w14:textId="77777777" w:rsidR="00110F64" w:rsidRPr="00786576" w:rsidRDefault="00110F64" w:rsidP="00110F6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B778EF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(KM)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A739F9" w14:textId="77777777" w:rsidR="00110F64" w:rsidRPr="00786576" w:rsidRDefault="00110F64" w:rsidP="00110F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(KM)</w:t>
            </w:r>
          </w:p>
        </w:tc>
      </w:tr>
      <w:tr w:rsidR="00110F64" w:rsidRPr="00786576" w14:paraId="725F333D" w14:textId="77777777" w:rsidTr="00110F64">
        <w:trPr>
          <w:trHeight w:val="31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6B09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proofErr w:type="spellStart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Regulatorne</w:t>
            </w:r>
            <w:proofErr w:type="spellEnd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 naknade za obavljanje elektroprivrednih djelatnosti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00167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3.347.266,00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8AAF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3.397.266,00</w:t>
            </w:r>
          </w:p>
        </w:tc>
      </w:tr>
      <w:tr w:rsidR="00110F64" w:rsidRPr="00786576" w14:paraId="4EDA946D" w14:textId="77777777" w:rsidTr="00110F64">
        <w:trPr>
          <w:trHeight w:val="61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98EE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proofErr w:type="spellStart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Regulatorne</w:t>
            </w:r>
            <w:proofErr w:type="spellEnd"/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 naknade za obavljanje djelatnosti iz sektora naftne privrede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C058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E0AA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300.000,00</w:t>
            </w:r>
          </w:p>
        </w:tc>
      </w:tr>
      <w:tr w:rsidR="00110F64" w:rsidRPr="00786576" w14:paraId="5165841B" w14:textId="77777777" w:rsidTr="00110F64">
        <w:trPr>
          <w:trHeight w:val="31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FC0E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Jednokratne naknade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727C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100.000,00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F13E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70.000,00</w:t>
            </w:r>
          </w:p>
        </w:tc>
      </w:tr>
      <w:tr w:rsidR="00110F64" w:rsidRPr="00786576" w14:paraId="6D5A63BF" w14:textId="77777777" w:rsidTr="00110F64">
        <w:trPr>
          <w:trHeight w:val="31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DC92" w14:textId="77777777" w:rsidR="00110F64" w:rsidRPr="00786576" w:rsidRDefault="00110F64" w:rsidP="00110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 xml:space="preserve">Ostali prihodi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A1EF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40.000,00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1FF3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20.000,00</w:t>
            </w:r>
          </w:p>
        </w:tc>
      </w:tr>
      <w:tr w:rsidR="00110F64" w:rsidRPr="00786576" w14:paraId="3A596DCE" w14:textId="77777777" w:rsidTr="00110F64">
        <w:trPr>
          <w:trHeight w:val="31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B1989D" w14:textId="0DF16ADF" w:rsidR="00110F64" w:rsidRPr="00786576" w:rsidRDefault="00110F64" w:rsidP="00E02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UKUPNO PRIHODA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B388D30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3.787.266,00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8D2F38" w14:textId="77777777" w:rsidR="00110F64" w:rsidRPr="00786576" w:rsidRDefault="00110F64" w:rsidP="00110F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  <w:r w:rsidRPr="00786576"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  <w:t>3.787.266,00</w:t>
            </w:r>
          </w:p>
        </w:tc>
      </w:tr>
    </w:tbl>
    <w:p w14:paraId="100211CB" w14:textId="77777777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B124F83" w14:textId="77777777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1E40CA" w14:textId="77777777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E36BCF" w14:textId="78813013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Prihode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komisije čine:</w:t>
      </w:r>
    </w:p>
    <w:p w14:paraId="3072CD99" w14:textId="3F46461E" w:rsidR="00086271" w:rsidRPr="00786576" w:rsidRDefault="00DC4887" w:rsidP="003D253A">
      <w:pPr>
        <w:pStyle w:val="Style1"/>
        <w:jc w:val="both"/>
        <w:rPr>
          <w:bCs w:val="0"/>
          <w:iCs w:val="0"/>
          <w:szCs w:val="24"/>
        </w:rPr>
      </w:pPr>
      <w:bookmarkStart w:id="17" w:name="_Toc25139548"/>
      <w:r w:rsidRPr="00786576">
        <w:rPr>
          <w:bCs w:val="0"/>
          <w:iCs w:val="0"/>
          <w:szCs w:val="24"/>
        </w:rPr>
        <w:t xml:space="preserve">2.1.   Prihodi od </w:t>
      </w:r>
      <w:proofErr w:type="spellStart"/>
      <w:r w:rsidRPr="00786576">
        <w:rPr>
          <w:bCs w:val="0"/>
          <w:iCs w:val="0"/>
          <w:szCs w:val="24"/>
        </w:rPr>
        <w:t>regulatornih</w:t>
      </w:r>
      <w:proofErr w:type="spellEnd"/>
      <w:r w:rsidRPr="00786576">
        <w:rPr>
          <w:bCs w:val="0"/>
          <w:iCs w:val="0"/>
          <w:szCs w:val="24"/>
        </w:rPr>
        <w:t xml:space="preserve"> naknada</w:t>
      </w:r>
      <w:bookmarkEnd w:id="17"/>
      <w:r w:rsidRPr="00786576">
        <w:rPr>
          <w:bCs w:val="0"/>
          <w:iCs w:val="0"/>
          <w:szCs w:val="24"/>
        </w:rPr>
        <w:t xml:space="preserve"> </w:t>
      </w:r>
    </w:p>
    <w:p w14:paraId="60942BC0" w14:textId="5ACD36D1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Prihodi od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naknada u Prijedlogu budžeta za </w:t>
      </w:r>
      <w:r w:rsidR="006D4532" w:rsidRPr="00786576">
        <w:rPr>
          <w:rFonts w:ascii="Times New Roman" w:hAnsi="Times New Roman" w:cs="Times New Roman"/>
          <w:sz w:val="24"/>
          <w:szCs w:val="24"/>
          <w:lang w:val="bs-Latn-BA"/>
        </w:rPr>
        <w:t>202</w:t>
      </w:r>
      <w:r w:rsidR="002B46E3" w:rsidRPr="0078657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 godinu planirani su u ukupnom  iznosu od  3.</w:t>
      </w:r>
      <w:r w:rsidR="00A14C4F" w:rsidRPr="00786576">
        <w:rPr>
          <w:rFonts w:ascii="Times New Roman" w:hAnsi="Times New Roman" w:cs="Times New Roman"/>
          <w:sz w:val="24"/>
          <w:szCs w:val="24"/>
          <w:lang w:val="bs-Latn-BA"/>
        </w:rPr>
        <w:t>647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560C1" w:rsidRPr="00786576">
        <w:rPr>
          <w:rFonts w:ascii="Times New Roman" w:hAnsi="Times New Roman" w:cs="Times New Roman"/>
          <w:sz w:val="24"/>
          <w:szCs w:val="24"/>
          <w:lang w:val="bs-Latn-BA"/>
        </w:rPr>
        <w:t>266</w:t>
      </w:r>
      <w:r w:rsidR="00B9313A" w:rsidRPr="00786576">
        <w:rPr>
          <w:rFonts w:ascii="Times New Roman" w:hAnsi="Times New Roman" w:cs="Times New Roman"/>
          <w:sz w:val="24"/>
          <w:szCs w:val="24"/>
          <w:lang w:val="bs-Latn-BA"/>
        </w:rPr>
        <w:t>,00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KM, od čega su:</w:t>
      </w:r>
    </w:p>
    <w:p w14:paraId="2F5F3E84" w14:textId="44D1AEF2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naknade za obavljanje elektroprivrednih djelatnosti 3.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347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560C1" w:rsidRPr="00786576">
        <w:rPr>
          <w:rFonts w:ascii="Times New Roman" w:hAnsi="Times New Roman" w:cs="Times New Roman"/>
          <w:sz w:val="24"/>
          <w:szCs w:val="24"/>
          <w:lang w:val="bs-Latn-BA"/>
        </w:rPr>
        <w:t>266</w:t>
      </w:r>
      <w:r w:rsidR="00B9313A" w:rsidRPr="00786576">
        <w:rPr>
          <w:rFonts w:ascii="Times New Roman" w:hAnsi="Times New Roman" w:cs="Times New Roman"/>
          <w:sz w:val="24"/>
          <w:szCs w:val="24"/>
          <w:lang w:val="bs-Latn-BA"/>
        </w:rPr>
        <w:t>,00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KM i</w:t>
      </w:r>
    </w:p>
    <w:p w14:paraId="73EE18A7" w14:textId="477FC7ED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naknade za obavljanje djelatnosti iz sektora naftne privrede 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>300.000</w:t>
      </w:r>
      <w:r w:rsidR="00B9313A" w:rsidRPr="00786576">
        <w:rPr>
          <w:rFonts w:ascii="Times New Roman" w:hAnsi="Times New Roman" w:cs="Times New Roman"/>
          <w:sz w:val="24"/>
          <w:szCs w:val="24"/>
          <w:lang w:val="bs-Latn-BA"/>
        </w:rPr>
        <w:t>,00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KM.</w:t>
      </w:r>
    </w:p>
    <w:p w14:paraId="53181C59" w14:textId="04685721" w:rsidR="00DC4887" w:rsidRPr="00786576" w:rsidRDefault="00DC4887" w:rsidP="00DC4887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Iznosi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naknada koje će plaćati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imaoci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dozvola bit će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definisani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u skladu sa Pravilnikom o metodologiji i načinu obračuna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naknada.</w:t>
      </w:r>
    </w:p>
    <w:p w14:paraId="43BB87E4" w14:textId="112B3369" w:rsidR="00DC4887" w:rsidRPr="00786576" w:rsidRDefault="00DC4887" w:rsidP="003D253A">
      <w:pPr>
        <w:pStyle w:val="Style1"/>
        <w:jc w:val="both"/>
      </w:pPr>
      <w:bookmarkStart w:id="18" w:name="_Toc25139549"/>
      <w:r w:rsidRPr="00786576">
        <w:rPr>
          <w:bCs w:val="0"/>
          <w:iCs w:val="0"/>
          <w:szCs w:val="24"/>
        </w:rPr>
        <w:t>2.2.   Prihodi od jednokratnih i ostalih naknada</w:t>
      </w:r>
      <w:bookmarkEnd w:id="18"/>
    </w:p>
    <w:p w14:paraId="0C5914D7" w14:textId="77777777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Prilikom podnošenja zahtjeva za izdavanje dozvola za rad i zahtjeva za tarife, odnosno pokretanja arbitraže,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podnosioci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zahtjeva dužni su izvršiti uplatu jednokratne naknade u skladu sa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FERK-ovim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odlukama o jednokratnim naknadama. </w:t>
      </w:r>
    </w:p>
    <w:p w14:paraId="5DF1A232" w14:textId="57650C9F" w:rsidR="00A94D13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Prihodi po ovom osnovu za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2022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. godinu planirani su u iznosu od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100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.000,00 KM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9AABFED" w14:textId="1AE68793" w:rsidR="00DC4887" w:rsidRPr="00786576" w:rsidRDefault="00DC4887" w:rsidP="003D253A">
      <w:pPr>
        <w:pStyle w:val="Style1"/>
        <w:jc w:val="both"/>
      </w:pPr>
      <w:bookmarkStart w:id="19" w:name="_Toc25139550"/>
      <w:r w:rsidRPr="00786576">
        <w:rPr>
          <w:bCs w:val="0"/>
          <w:iCs w:val="0"/>
          <w:szCs w:val="24"/>
        </w:rPr>
        <w:t>2.3.    Ostali prihodi</w:t>
      </w:r>
      <w:bookmarkEnd w:id="19"/>
    </w:p>
    <w:p w14:paraId="481B12DC" w14:textId="70C94789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Ostali prihodi obuhvataju prihode od naknada po osnovu kamata po viđenju,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kursnih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razlika i slično. U Prijedlogu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2022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. godinu ostali prihodi su planirani u iznosu od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.000,00 KM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9D42AE9" w14:textId="77777777" w:rsidR="00796696" w:rsidRPr="00786576" w:rsidRDefault="00796696" w:rsidP="00DC4887">
      <w:pPr>
        <w:rPr>
          <w:rFonts w:ascii="Times New Roman" w:hAnsi="Times New Roman" w:cs="Times New Roman"/>
          <w:color w:val="FF0000"/>
          <w:sz w:val="20"/>
          <w:szCs w:val="20"/>
          <w:lang w:val="bs-Latn-BA"/>
        </w:rPr>
      </w:pPr>
    </w:p>
    <w:p w14:paraId="51AF4A9A" w14:textId="77777777" w:rsidR="00DC4887" w:rsidRPr="00786576" w:rsidRDefault="00DC4887" w:rsidP="00DC4887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</w:pPr>
      <w:bookmarkStart w:id="20" w:name="_Toc25139551"/>
      <w:r w:rsidRPr="00786576"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  <w:t>3.  Sažetak</w:t>
      </w:r>
      <w:bookmarkEnd w:id="20"/>
      <w:r w:rsidRPr="00786576"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  <w:t xml:space="preserve"> </w:t>
      </w:r>
    </w:p>
    <w:p w14:paraId="4CCDD720" w14:textId="77777777" w:rsidR="00DC4887" w:rsidRPr="00786576" w:rsidRDefault="00DC4887" w:rsidP="00DC4887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14:paraId="65739544" w14:textId="52EE27DB" w:rsidR="00476D2F" w:rsidRPr="00786576" w:rsidRDefault="00DC4887" w:rsidP="00DC4887">
      <w:pPr>
        <w:rPr>
          <w:rFonts w:ascii="Times New Roman" w:hAnsi="Times New Roman" w:cs="Times New Roman"/>
          <w:bCs/>
          <w:iCs/>
          <w:color w:val="FF0000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Ukupni rashodi u Prijedlogu budžeta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2022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B46E3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godinu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zadržani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su na istom nivou u iznosu od 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3.787.</w:t>
      </w:r>
      <w:r w:rsidR="00C560C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266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KM kao i u </w:t>
      </w:r>
      <w:r w:rsidR="001F101F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Budžetima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 2019.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B46E3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2020</w:t>
      </w:r>
      <w:r w:rsidR="00C560C1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2021</w:t>
      </w:r>
      <w:r w:rsidR="009D6D8B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godinu.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A21BD" w:rsidRPr="00786576">
        <w:rPr>
          <w:rFonts w:ascii="Times New Roman" w:hAnsi="Times New Roman" w:cs="Times New Roman"/>
          <w:sz w:val="24"/>
          <w:szCs w:val="24"/>
          <w:lang w:val="bs-Latn-BA"/>
        </w:rPr>
        <w:t>Iz navedenog slijedi da je</w:t>
      </w:r>
      <w:r w:rsidR="002B16F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A6F23" w:rsidRPr="00786576">
        <w:rPr>
          <w:rFonts w:ascii="Times New Roman" w:hAnsi="Times New Roman" w:cs="Times New Roman"/>
          <w:sz w:val="24"/>
          <w:szCs w:val="24"/>
          <w:lang w:val="bs-Latn-BA"/>
        </w:rPr>
        <w:t>Prijedlog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A6F23" w:rsidRPr="00786576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udžeta </w:t>
      </w:r>
      <w:proofErr w:type="spellStart"/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FERK</w:t>
      </w:r>
      <w:r w:rsidR="005A21BD" w:rsidRPr="00786576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a</w:t>
      </w:r>
      <w:proofErr w:type="spellEnd"/>
      <w:r w:rsidR="005A6F23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>ve</w:t>
      </w:r>
      <w:r w:rsidR="001F101F" w:rsidRPr="00786576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007E41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četvrtu godinu planiran bez povećanja ukupnih sredstava, samo sa drugačijom raspodjelom unutar planiranih stavki.</w:t>
      </w:r>
      <w:r w:rsidRPr="00786576">
        <w:rPr>
          <w:rFonts w:ascii="Times New Roman" w:hAnsi="Times New Roman" w:cs="Times New Roman"/>
          <w:bCs/>
          <w:iCs/>
          <w:color w:val="FF0000"/>
          <w:sz w:val="24"/>
          <w:szCs w:val="24"/>
          <w:lang w:val="bs-Latn-BA"/>
        </w:rPr>
        <w:tab/>
      </w:r>
    </w:p>
    <w:p w14:paraId="5D7B9B23" w14:textId="74252304" w:rsidR="00007E41" w:rsidRPr="00786576" w:rsidRDefault="006317E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Kapitalna ulaganja koja se odnose na prikupljanje sredstava za trajno rješavanje smještaja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</w:t>
      </w:r>
      <w:r w:rsidR="002C20F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-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a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su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u ovom </w:t>
      </w:r>
      <w:r w:rsidR="002B16F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rijedlogu </w:t>
      </w:r>
      <w:r w:rsidR="005A21B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b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udžeta smanjena za 200.000,00 KM, kao i kapitalni rashodi za opremu</w:t>
      </w:r>
      <w:r w:rsidR="005A21B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 namještaj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i </w:t>
      </w:r>
      <w:r w:rsidR="005A21B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stalna sredstva u obliku prava 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su smanjeni za 17.000,00 KM, što je ostavilo prostora za </w:t>
      </w:r>
      <w:proofErr w:type="spellStart"/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korigovanje</w:t>
      </w:r>
      <w:proofErr w:type="spellEnd"/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drugih izdataka.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14:paraId="512AE36D" w14:textId="584ED907" w:rsidR="00007E41" w:rsidRPr="00786576" w:rsidRDefault="00C773DC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 skladu sa navedenim rezultiralo je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povećanj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e</w:t>
      </w:r>
      <w:r w:rsidR="00007E4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Bruto plata i naknada iz više razloga: </w:t>
      </w:r>
    </w:p>
    <w:p w14:paraId="75DA3FC1" w14:textId="77777777" w:rsidR="00007E41" w:rsidRPr="00786576" w:rsidRDefault="00007E41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-redovna povećanja plata zbog usklađivanja porasta sa prosječnom platom, </w:t>
      </w:r>
    </w:p>
    <w:p w14:paraId="7D4CCB8B" w14:textId="4FBD48F0" w:rsidR="00007E41" w:rsidRPr="00786576" w:rsidRDefault="00007E41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-planiranje stavki otpremnina  za odlazak u penziju, kojih </w:t>
      </w:r>
      <w:r w:rsidR="00C560C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već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duži period u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-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nije bilo jer radnici nisu ispunjavali uslove za istu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i</w:t>
      </w:r>
    </w:p>
    <w:p w14:paraId="6DC02495" w14:textId="4997ED20" w:rsidR="00E45A10" w:rsidRPr="00786576" w:rsidRDefault="00007E41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-planiranje sistematskih pregleda koji se po pravil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ima </w:t>
      </w:r>
      <w:proofErr w:type="spellStart"/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-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a</w:t>
      </w:r>
      <w:proofErr w:type="spellEnd"/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planiraju svake </w:t>
      </w:r>
      <w:r w:rsidR="00C56AB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druge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godine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6FAA7FE9" w14:textId="539854CA" w:rsidR="00476D2F" w:rsidRPr="00786576" w:rsidRDefault="00E45A10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FERK u 2022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god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i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ni nije planirao zamjene starih automobila sa novima, a koji ispunjavaju uslove po Pravilniku o nabavkama i korištenju automobila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te se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</w:t>
      </w:r>
      <w:r w:rsidR="002050C5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stavilo za neka bolja vremena i</w:t>
      </w:r>
      <w:r w:rsidR="008948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bolju </w:t>
      </w:r>
      <w:proofErr w:type="spellStart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sveukupnu</w:t>
      </w:r>
      <w:proofErr w:type="spellEnd"/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situaciju u privredi Federacije BiH.</w:t>
      </w:r>
    </w:p>
    <w:p w14:paraId="5148FC8D" w14:textId="2813CF8F" w:rsidR="00E45A10" w:rsidRPr="00786576" w:rsidRDefault="006317E7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Ostali izdaci su se planirali na nivou stvarno ostvarenih 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izdataka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 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2021.</w:t>
      </w:r>
      <w:r w:rsidR="002B46E3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godini i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8948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domaćinski 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se </w:t>
      </w:r>
      <w:proofErr w:type="spellStart"/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utvrđivao</w:t>
      </w:r>
      <w:proofErr w:type="spellEnd"/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svaki izdatak, tako se oko zakupa poslovnog prostora</w:t>
      </w:r>
      <w:r w:rsidR="00C560C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pregovaralo sa </w:t>
      </w:r>
      <w:proofErr w:type="spellStart"/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zakupodavcem</w:t>
      </w:r>
      <w:proofErr w:type="spellEnd"/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te se 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smanjila cijena zakupa za 7.255,00 KM na</w:t>
      </w:r>
      <w:r w:rsidR="00C560C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godišnjem nivou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 a</w:t>
      </w:r>
      <w:r w:rsidR="00E45A10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 naredne dvije godine.</w:t>
      </w:r>
    </w:p>
    <w:p w14:paraId="556F4814" w14:textId="752D2E73" w:rsidR="0089482D" w:rsidRPr="00786576" w:rsidRDefault="00E45A10" w:rsidP="00DC4887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lastRenderedPageBreak/>
        <w:t>Sve navedeno je</w:t>
      </w:r>
      <w:r w:rsidR="006317E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rezultiralo da četvrtu</w:t>
      </w:r>
      <w:r w:rsidR="006F4BE9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6317E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godinu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zaredom FERK ide </w:t>
      </w:r>
      <w:r w:rsidR="006317E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sa</w:t>
      </w: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Prijedlog</w:t>
      </w:r>
      <w:r w:rsidR="00C773DC" w:rsidRPr="00786576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4BE9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budžeta </w:t>
      </w:r>
      <w:r w:rsidR="006317E7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na potpuno istom nivou</w:t>
      </w:r>
      <w:r w:rsidR="002C69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od 3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2C69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787.</w:t>
      </w:r>
      <w:r w:rsidR="00C560C1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266</w:t>
      </w:r>
      <w:r w:rsidR="002C691F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,00 KM</w:t>
      </w:r>
      <w:r w:rsidR="008948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bez obzira na trend </w:t>
      </w:r>
      <w:proofErr w:type="spellStart"/>
      <w:r w:rsidR="008948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poskupljivanja</w:t>
      </w:r>
      <w:proofErr w:type="spellEnd"/>
      <w:r w:rsidR="008948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mnogih roba, usluga i energenata, 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koji se dešavaju </w:t>
      </w:r>
      <w:r w:rsidR="0089482D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u posljednje vrijeme.</w:t>
      </w:r>
    </w:p>
    <w:p w14:paraId="4A3D0205" w14:textId="7C3F1DE6" w:rsidR="00DC4887" w:rsidRPr="00786576" w:rsidRDefault="0089482D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Očekujemo stabilizaciju na tržištu i vjerujemo da će nam planirana sredstva omogućiti nesmetano poslovanje</w:t>
      </w:r>
      <w:r w:rsidR="00C773DC" w:rsidRPr="0078657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14:paraId="2183687D" w14:textId="2BA3FC06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Ukupno planirani prihodi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za</w:t>
      </w:r>
      <w:r w:rsidR="00BB32F1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C691F" w:rsidRPr="00786576">
        <w:rPr>
          <w:rFonts w:ascii="Times New Roman" w:hAnsi="Times New Roman" w:cs="Times New Roman"/>
          <w:sz w:val="24"/>
          <w:szCs w:val="24"/>
          <w:lang w:val="bs-Latn-BA"/>
        </w:rPr>
        <w:t>2022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B16F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godinu iznose 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3.787.</w:t>
      </w:r>
      <w:r w:rsidR="00C560C1"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266</w:t>
      </w:r>
      <w:r w:rsidRPr="0078657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,00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KM što odgovara planiranim ukupnim rashodima i to prema sljedećoj strukturi:</w:t>
      </w:r>
    </w:p>
    <w:p w14:paraId="494C41C0" w14:textId="19EC018E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naknade za obavljanje elektroprivrednih djelatnosti u iznosu od  </w:t>
      </w:r>
      <w:r w:rsidR="006317E7" w:rsidRPr="00786576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2C691F" w:rsidRPr="00786576">
        <w:rPr>
          <w:rFonts w:ascii="Times New Roman" w:hAnsi="Times New Roman" w:cs="Times New Roman"/>
          <w:sz w:val="24"/>
          <w:szCs w:val="24"/>
          <w:lang w:val="bs-Latn-BA"/>
        </w:rPr>
        <w:t>347</w:t>
      </w:r>
      <w:r w:rsidR="006317E7" w:rsidRPr="0078657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560C1" w:rsidRPr="00786576">
        <w:rPr>
          <w:rFonts w:ascii="Times New Roman" w:hAnsi="Times New Roman" w:cs="Times New Roman"/>
          <w:sz w:val="24"/>
          <w:szCs w:val="24"/>
          <w:lang w:val="bs-Latn-BA"/>
        </w:rPr>
        <w:t>266</w:t>
      </w:r>
      <w:r w:rsidR="00BB32F1" w:rsidRPr="00786576">
        <w:rPr>
          <w:rFonts w:ascii="Times New Roman" w:hAnsi="Times New Roman" w:cs="Times New Roman"/>
          <w:sz w:val="24"/>
          <w:szCs w:val="24"/>
          <w:lang w:val="bs-Latn-BA"/>
        </w:rPr>
        <w:t>,00</w:t>
      </w:r>
      <w:r w:rsidR="006317E7"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="00476D2F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D834163" w14:textId="3114F32C" w:rsidR="00DC4887" w:rsidRPr="00786576" w:rsidRDefault="00DC4887" w:rsidP="002C1A6D">
      <w:pPr>
        <w:ind w:left="142" w:hanging="142"/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proofErr w:type="spellStart"/>
      <w:r w:rsidRPr="00786576">
        <w:rPr>
          <w:rFonts w:ascii="Times New Roman" w:hAnsi="Times New Roman" w:cs="Times New Roman"/>
          <w:sz w:val="24"/>
          <w:szCs w:val="24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naknade za obavljanje djelatnosti iz sektora naftne privrede u iznosu od 3</w:t>
      </w:r>
      <w:r w:rsidR="006317E7" w:rsidRPr="00786576">
        <w:rPr>
          <w:rFonts w:ascii="Times New Roman" w:hAnsi="Times New Roman" w:cs="Times New Roman"/>
          <w:sz w:val="24"/>
          <w:szCs w:val="24"/>
          <w:lang w:val="bs-Latn-BA"/>
        </w:rPr>
        <w:t>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.000</w:t>
      </w:r>
      <w:r w:rsidR="00BB32F1" w:rsidRPr="00786576">
        <w:rPr>
          <w:rFonts w:ascii="Times New Roman" w:hAnsi="Times New Roman" w:cs="Times New Roman"/>
          <w:sz w:val="24"/>
          <w:szCs w:val="24"/>
          <w:lang w:val="bs-Latn-BA"/>
        </w:rPr>
        <w:t>,00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KM</w:t>
      </w:r>
      <w:r w:rsidR="00476D2F" w:rsidRPr="0078657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F70363F" w14:textId="39365409" w:rsidR="00DC4887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- Jednokratne naknade u iznosu od </w:t>
      </w:r>
      <w:r w:rsidR="002C691F" w:rsidRPr="00786576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0.000,00 KM i </w:t>
      </w:r>
    </w:p>
    <w:p w14:paraId="281CB3C7" w14:textId="5231F835" w:rsidR="002C691F" w:rsidRPr="00786576" w:rsidRDefault="00DC4887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86576">
        <w:rPr>
          <w:rFonts w:ascii="Times New Roman" w:hAnsi="Times New Roman" w:cs="Times New Roman"/>
          <w:sz w:val="24"/>
          <w:szCs w:val="24"/>
          <w:lang w:val="bs-Latn-BA"/>
        </w:rPr>
        <w:t xml:space="preserve">- Ostali prihodi u iznosu od </w:t>
      </w:r>
      <w:r w:rsidR="002C691F" w:rsidRPr="00786576">
        <w:rPr>
          <w:rFonts w:ascii="Times New Roman" w:hAnsi="Times New Roman" w:cs="Times New Roman"/>
          <w:sz w:val="24"/>
          <w:szCs w:val="24"/>
          <w:lang w:val="bs-Latn-BA"/>
        </w:rPr>
        <w:t>40</w:t>
      </w:r>
      <w:r w:rsidRPr="00786576">
        <w:rPr>
          <w:rFonts w:ascii="Times New Roman" w:hAnsi="Times New Roman" w:cs="Times New Roman"/>
          <w:sz w:val="24"/>
          <w:szCs w:val="24"/>
          <w:lang w:val="bs-Latn-BA"/>
        </w:rPr>
        <w:t>.000,00 KM.</w:t>
      </w:r>
    </w:p>
    <w:p w14:paraId="620BFA9E" w14:textId="009A78C9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187463" w14:textId="1E98AF10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280AF5C" w14:textId="49814182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BAFAFB" w14:textId="357065EF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034C61" w14:textId="5E28ECA1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0ACB28" w14:textId="6FEF839B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98D601" w14:textId="5DF9E137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641D9FD" w14:textId="186211B2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4D989C" w14:textId="043D0C55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0EBC8C" w14:textId="6A393697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F03F22" w14:textId="27CB7F19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7AA50" w14:textId="25AAA790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EEAFAA8" w14:textId="6D3CAED5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C0C215B" w14:textId="6C905AE6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FC263B" w14:textId="1B9FC2CF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B01337F" w14:textId="11A8D336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BB89FF" w14:textId="74D926C0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9B07B01" w14:textId="7EC5D22A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61C9D7B" w14:textId="3F34B062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5F72EC" w14:textId="231EA12B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19B9D9" w14:textId="466B3E5E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446415" w14:textId="61F95114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A85C0F" w14:textId="26D47D8A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E0E6EF" w14:textId="77777777" w:rsidR="00314CD9" w:rsidRPr="00786576" w:rsidRDefault="00314CD9" w:rsidP="00DC488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BE02E3" w14:textId="3F40B5CB" w:rsidR="00DC4887" w:rsidRPr="00786576" w:rsidRDefault="00DC4887" w:rsidP="00DC4887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  <w:lang w:val="bs-Latn-BA"/>
        </w:rPr>
      </w:pPr>
      <w:bookmarkStart w:id="21" w:name="_Toc25139552"/>
      <w:r w:rsidRPr="00786576">
        <w:rPr>
          <w:rFonts w:ascii="Times New Roman" w:hAnsi="Times New Roman" w:cs="Times New Roman"/>
          <w:b/>
          <w:bCs/>
          <w:color w:val="auto"/>
          <w:sz w:val="24"/>
          <w:szCs w:val="24"/>
          <w:lang w:val="bs-Latn-BA"/>
        </w:rPr>
        <w:lastRenderedPageBreak/>
        <w:t>4</w:t>
      </w:r>
      <w:r w:rsidRPr="00786576">
        <w:rPr>
          <w:rFonts w:ascii="Times New Roman" w:hAnsi="Times New Roman" w:cs="Times New Roman"/>
          <w:b/>
          <w:bCs/>
          <w:color w:val="auto"/>
          <w:sz w:val="22"/>
          <w:szCs w:val="22"/>
          <w:lang w:val="bs-Latn-BA"/>
        </w:rPr>
        <w:t xml:space="preserve">. Prilog – Prijedlog budžeta </w:t>
      </w:r>
      <w:proofErr w:type="spellStart"/>
      <w:r w:rsidRPr="00786576">
        <w:rPr>
          <w:rFonts w:ascii="Times New Roman" w:hAnsi="Times New Roman" w:cs="Times New Roman"/>
          <w:b/>
          <w:bCs/>
          <w:color w:val="auto"/>
          <w:sz w:val="22"/>
          <w:szCs w:val="22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/>
          <w:bCs/>
          <w:color w:val="auto"/>
          <w:sz w:val="22"/>
          <w:szCs w:val="22"/>
          <w:lang w:val="bs-Latn-BA"/>
        </w:rPr>
        <w:t xml:space="preserve"> za </w:t>
      </w:r>
      <w:r w:rsidR="002C691F" w:rsidRPr="00786576">
        <w:rPr>
          <w:rFonts w:ascii="Times New Roman" w:hAnsi="Times New Roman" w:cs="Times New Roman"/>
          <w:b/>
          <w:bCs/>
          <w:color w:val="auto"/>
          <w:sz w:val="22"/>
          <w:szCs w:val="22"/>
          <w:lang w:val="bs-Latn-BA"/>
        </w:rPr>
        <w:t>2022</w:t>
      </w:r>
      <w:r w:rsidRPr="00786576">
        <w:rPr>
          <w:rFonts w:ascii="Times New Roman" w:hAnsi="Times New Roman" w:cs="Times New Roman"/>
          <w:b/>
          <w:bCs/>
          <w:color w:val="auto"/>
          <w:sz w:val="22"/>
          <w:szCs w:val="22"/>
          <w:lang w:val="bs-Latn-BA"/>
        </w:rPr>
        <w:t>. godinu</w:t>
      </w:r>
      <w:bookmarkEnd w:id="21"/>
    </w:p>
    <w:p w14:paraId="3F817B3B" w14:textId="77777777" w:rsidR="00DC4887" w:rsidRPr="00786576" w:rsidRDefault="00DC4887" w:rsidP="00DC4887">
      <w:pPr>
        <w:rPr>
          <w:rFonts w:ascii="Times New Roman" w:hAnsi="Times New Roman" w:cs="Times New Roman"/>
          <w:color w:val="FF0000"/>
          <w:lang w:val="bs-Latn-BA"/>
        </w:rPr>
      </w:pPr>
    </w:p>
    <w:p w14:paraId="65803A89" w14:textId="003FD4AF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  <w:proofErr w:type="spellStart"/>
      <w:r w:rsidRPr="00786576">
        <w:rPr>
          <w:rFonts w:ascii="Times New Roman" w:hAnsi="Times New Roman" w:cs="Times New Roman"/>
          <w:lang w:val="bs-Latn-BA"/>
        </w:rPr>
        <w:t>Regulatorna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komisija za energiju u Federaciji Bosne i Hercegovine - FERK je na osnovu člana 31. Zakona o </w:t>
      </w:r>
      <w:proofErr w:type="spellStart"/>
      <w:r w:rsidRPr="00786576">
        <w:rPr>
          <w:rFonts w:ascii="Times New Roman" w:hAnsi="Times New Roman" w:cs="Times New Roman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energiji u </w:t>
      </w:r>
      <w:r w:rsidRPr="00786576">
        <w:rPr>
          <w:rFonts w:ascii="Times New Roman" w:hAnsi="Times New Roman" w:cs="Times New Roman"/>
          <w:bCs/>
          <w:lang w:val="bs-Latn-BA"/>
        </w:rPr>
        <w:t>Federaciji Bosne i Hercegovine</w:t>
      </w:r>
      <w:r w:rsidRPr="00786576">
        <w:rPr>
          <w:rFonts w:ascii="Times New Roman" w:hAnsi="Times New Roman" w:cs="Times New Roman"/>
          <w:lang w:val="bs-Latn-BA"/>
        </w:rPr>
        <w:t xml:space="preserve"> („Službene novine Federacije BiH“ broj 66/13, 94/15 i 54/19), člana 17. Zakona o naftnim derivatima u Federaciji Bosne i Hercegovine („Službene novine Federacije BiH“ broj 52/14), člana 23. Statuta </w:t>
      </w:r>
      <w:proofErr w:type="spellStart"/>
      <w:r w:rsidRPr="00786576">
        <w:rPr>
          <w:rFonts w:ascii="Times New Roman" w:hAnsi="Times New Roman" w:cs="Times New Roman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komisije za energiju u Federaciji Bosne i Hercegovine („Službene novine Federacije BiH“ broj 24/14 i 91/15) i člana 11. stav (1) Poslovnika o radu </w:t>
      </w:r>
      <w:proofErr w:type="spellStart"/>
      <w:r w:rsidRPr="00786576">
        <w:rPr>
          <w:rFonts w:ascii="Times New Roman" w:hAnsi="Times New Roman" w:cs="Times New Roman"/>
          <w:lang w:val="bs-Latn-BA"/>
        </w:rPr>
        <w:t>Regulatorne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komisije za energiju u Federaciji Bosne i Hercegovine („Službene novine Federacije BiH“ broj 29/14, 31/16 i 84/19), na </w:t>
      </w:r>
      <w:r w:rsidR="00075230" w:rsidRPr="00786576">
        <w:rPr>
          <w:rFonts w:ascii="Times New Roman" w:hAnsi="Times New Roman" w:cs="Times New Roman"/>
          <w:lang w:val="bs-Latn-BA"/>
        </w:rPr>
        <w:t>22/21</w:t>
      </w:r>
      <w:r w:rsidRPr="00786576">
        <w:rPr>
          <w:rFonts w:ascii="Times New Roman" w:hAnsi="Times New Roman" w:cs="Times New Roman"/>
          <w:lang w:val="bs-Latn-BA"/>
        </w:rPr>
        <w:t xml:space="preserve"> internom sastanku održano</w:t>
      </w:r>
      <w:r w:rsidR="00BB7C9D" w:rsidRPr="00786576">
        <w:rPr>
          <w:rFonts w:ascii="Times New Roman" w:hAnsi="Times New Roman" w:cs="Times New Roman"/>
          <w:lang w:val="bs-Latn-BA"/>
        </w:rPr>
        <w:t>m</w:t>
      </w:r>
      <w:r w:rsidRPr="00786576">
        <w:rPr>
          <w:rFonts w:ascii="Times New Roman" w:hAnsi="Times New Roman" w:cs="Times New Roman"/>
          <w:lang w:val="bs-Latn-BA"/>
        </w:rPr>
        <w:t xml:space="preserve"> dana </w:t>
      </w:r>
      <w:r w:rsidR="00075230" w:rsidRPr="00786576">
        <w:rPr>
          <w:rFonts w:ascii="Times New Roman" w:hAnsi="Times New Roman" w:cs="Times New Roman"/>
          <w:lang w:val="bs-Latn-BA"/>
        </w:rPr>
        <w:t>11.11.2021.</w:t>
      </w:r>
      <w:r w:rsidRPr="00786576">
        <w:rPr>
          <w:rFonts w:ascii="Times New Roman" w:hAnsi="Times New Roman" w:cs="Times New Roman"/>
          <w:lang w:val="bs-Latn-BA"/>
        </w:rPr>
        <w:t xml:space="preserve"> godine donijela prijedlog:</w:t>
      </w:r>
    </w:p>
    <w:p w14:paraId="65892F14" w14:textId="77777777" w:rsidR="005031C6" w:rsidRPr="00786576" w:rsidRDefault="005031C6" w:rsidP="00DC4887">
      <w:pPr>
        <w:jc w:val="center"/>
        <w:rPr>
          <w:rFonts w:ascii="Times New Roman" w:hAnsi="Times New Roman" w:cs="Times New Roman"/>
          <w:b/>
          <w:bCs/>
          <w:lang w:val="bs-Latn-BA"/>
        </w:rPr>
      </w:pPr>
    </w:p>
    <w:p w14:paraId="03529674" w14:textId="2FA4EF9D" w:rsidR="00DC4887" w:rsidRPr="00786576" w:rsidRDefault="00DC4887" w:rsidP="00DC4887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786576">
        <w:rPr>
          <w:rFonts w:ascii="Times New Roman" w:hAnsi="Times New Roman" w:cs="Times New Roman"/>
          <w:b/>
          <w:bCs/>
          <w:lang w:val="bs-Latn-BA"/>
        </w:rPr>
        <w:t>BUDŽETA</w:t>
      </w:r>
    </w:p>
    <w:p w14:paraId="24FC23FC" w14:textId="73525A9B" w:rsidR="005031C6" w:rsidRPr="00786576" w:rsidRDefault="00DC4887" w:rsidP="00DC4887">
      <w:pPr>
        <w:jc w:val="center"/>
        <w:rPr>
          <w:rFonts w:ascii="Times New Roman" w:hAnsi="Times New Roman" w:cs="Times New Roman"/>
          <w:b/>
          <w:bCs/>
          <w:lang w:val="bs-Latn-BA"/>
        </w:rPr>
      </w:pPr>
      <w:proofErr w:type="spellStart"/>
      <w:r w:rsidRPr="00786576">
        <w:rPr>
          <w:rFonts w:ascii="Times New Roman" w:hAnsi="Times New Roman" w:cs="Times New Roman"/>
          <w:b/>
          <w:bCs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b/>
          <w:bCs/>
          <w:lang w:val="bs-Latn-BA"/>
        </w:rPr>
        <w:t xml:space="preserve"> za </w:t>
      </w:r>
      <w:r w:rsidR="002C691F" w:rsidRPr="00786576">
        <w:rPr>
          <w:rFonts w:ascii="Times New Roman" w:hAnsi="Times New Roman" w:cs="Times New Roman"/>
          <w:b/>
          <w:bCs/>
          <w:lang w:val="bs-Latn-BA"/>
        </w:rPr>
        <w:t>2022</w:t>
      </w:r>
      <w:r w:rsidRPr="00786576">
        <w:rPr>
          <w:rFonts w:ascii="Times New Roman" w:hAnsi="Times New Roman" w:cs="Times New Roman"/>
          <w:b/>
          <w:bCs/>
          <w:lang w:val="bs-Latn-BA"/>
        </w:rPr>
        <w:t>. godinu</w:t>
      </w:r>
    </w:p>
    <w:p w14:paraId="6C35D584" w14:textId="77777777" w:rsidR="00DC4887" w:rsidRPr="00786576" w:rsidRDefault="00DC4887" w:rsidP="003D253A">
      <w:pPr>
        <w:jc w:val="center"/>
        <w:rPr>
          <w:rFonts w:ascii="Times New Roman" w:hAnsi="Times New Roman" w:cs="Times New Roman"/>
          <w:color w:val="FF0000"/>
          <w:lang w:val="bs-Latn-BA"/>
        </w:rPr>
      </w:pPr>
    </w:p>
    <w:p w14:paraId="684D22EF" w14:textId="77777777" w:rsidR="00DC4887" w:rsidRPr="00786576" w:rsidRDefault="00DC4887" w:rsidP="00DC4887">
      <w:pPr>
        <w:jc w:val="center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>Član 1.</w:t>
      </w:r>
    </w:p>
    <w:p w14:paraId="492013BA" w14:textId="4C6F167D" w:rsidR="005031C6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FERK se finansira iz prihoda od </w:t>
      </w:r>
      <w:proofErr w:type="spellStart"/>
      <w:r w:rsidRPr="00786576">
        <w:rPr>
          <w:rFonts w:ascii="Times New Roman" w:hAnsi="Times New Roman" w:cs="Times New Roman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naknada i jednokratnih naknada koje će naplaćivati od imalaca dozvola koji se bave djelatnošću iz člana 12. Zakona o </w:t>
      </w:r>
      <w:proofErr w:type="spellStart"/>
      <w:r w:rsidRPr="00786576">
        <w:rPr>
          <w:rFonts w:ascii="Times New Roman" w:hAnsi="Times New Roman" w:cs="Times New Roman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energiji u Federaciji Bosne i Hercegovine i iz prihoda od </w:t>
      </w:r>
      <w:proofErr w:type="spellStart"/>
      <w:r w:rsidRPr="00786576">
        <w:rPr>
          <w:rFonts w:ascii="Times New Roman" w:hAnsi="Times New Roman" w:cs="Times New Roman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naknada i jednokratnih naknada koje će naplaćivati od imalaca dozvola koji se bave djelatnošću iz člana 17. Zakona o naftnim derivatima u Federaciji Bosne i Hercegovine, te prihoda koje ostvaruje na osnovu drugih zakona iz oblasti energije, kao i prihoda od naknada za dozvole koje izdaje, uključujući i naknade troškova na osnovu arbitraže. </w:t>
      </w:r>
    </w:p>
    <w:p w14:paraId="6DD0105A" w14:textId="77777777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</w:p>
    <w:p w14:paraId="621048B3" w14:textId="77777777" w:rsidR="00DC4887" w:rsidRPr="00786576" w:rsidRDefault="00DC4887" w:rsidP="00DC4887">
      <w:pPr>
        <w:jc w:val="center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>Član 2.</w:t>
      </w:r>
    </w:p>
    <w:p w14:paraId="25C1EC8C" w14:textId="518822CF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Budžet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za </w:t>
      </w:r>
      <w:r w:rsidR="002C691F" w:rsidRPr="00786576">
        <w:rPr>
          <w:rFonts w:ascii="Times New Roman" w:hAnsi="Times New Roman" w:cs="Times New Roman"/>
          <w:lang w:val="bs-Latn-BA"/>
        </w:rPr>
        <w:t>2022</w:t>
      </w:r>
      <w:r w:rsidR="001361F5" w:rsidRPr="00786576">
        <w:rPr>
          <w:rFonts w:ascii="Times New Roman" w:hAnsi="Times New Roman" w:cs="Times New Roman"/>
          <w:lang w:val="bs-Latn-BA"/>
        </w:rPr>
        <w:t>. godinu sastoji se od</w:t>
      </w:r>
      <w:r w:rsidRPr="00786576">
        <w:rPr>
          <w:rFonts w:ascii="Times New Roman" w:hAnsi="Times New Roman" w:cs="Times New Roman"/>
          <w:lang w:val="bs-Latn-BA"/>
        </w:rPr>
        <w:t>:</w:t>
      </w:r>
    </w:p>
    <w:p w14:paraId="1B9C7175" w14:textId="77777777" w:rsidR="00DC4887" w:rsidRPr="00786576" w:rsidRDefault="00DC4887" w:rsidP="00DC4887">
      <w:pPr>
        <w:pBdr>
          <w:bottom w:val="single" w:sz="6" w:space="1" w:color="auto"/>
        </w:pBdr>
        <w:rPr>
          <w:rFonts w:ascii="Times New Roman" w:hAnsi="Times New Roman" w:cs="Times New Roman"/>
          <w:lang w:val="bs-Latn-BA"/>
        </w:rPr>
      </w:pPr>
    </w:p>
    <w:p w14:paraId="5BB94AA0" w14:textId="77777777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                              Bilans prihoda i Bilans rashoda </w:t>
      </w:r>
    </w:p>
    <w:p w14:paraId="6E70D402" w14:textId="5BCF4026" w:rsidR="00DC4887" w:rsidRPr="00786576" w:rsidRDefault="00DC4887" w:rsidP="00DC4887">
      <w:pPr>
        <w:numPr>
          <w:ilvl w:val="0"/>
          <w:numId w:val="22"/>
        </w:numPr>
        <w:pBdr>
          <w:bottom w:val="single" w:sz="4" w:space="1" w:color="auto"/>
        </w:pBdr>
        <w:spacing w:after="0"/>
        <w:jc w:val="left"/>
        <w:rPr>
          <w:rFonts w:ascii="Times New Roman" w:hAnsi="Times New Roman" w:cs="Times New Roman"/>
          <w:b/>
          <w:lang w:val="bs-Latn-BA"/>
        </w:rPr>
      </w:pPr>
      <w:r w:rsidRPr="00786576">
        <w:rPr>
          <w:rFonts w:ascii="Times New Roman" w:hAnsi="Times New Roman" w:cs="Times New Roman"/>
          <w:b/>
          <w:lang w:val="bs-Latn-BA"/>
        </w:rPr>
        <w:t xml:space="preserve">Prihodi                                                                                                    </w:t>
      </w:r>
      <w:r w:rsidRPr="00786576">
        <w:rPr>
          <w:rFonts w:ascii="Times New Roman" w:hAnsi="Times New Roman" w:cs="Times New Roman"/>
          <w:b/>
          <w:bCs/>
          <w:lang w:val="bs-Latn-BA" w:eastAsia="bs-Latn-BA"/>
        </w:rPr>
        <w:t>3.787.</w:t>
      </w:r>
      <w:r w:rsidR="00C560C1" w:rsidRPr="00786576">
        <w:rPr>
          <w:rFonts w:ascii="Times New Roman" w:hAnsi="Times New Roman" w:cs="Times New Roman"/>
          <w:b/>
          <w:bCs/>
          <w:lang w:val="bs-Latn-BA" w:eastAsia="bs-Latn-BA"/>
        </w:rPr>
        <w:t>266</w:t>
      </w:r>
      <w:r w:rsidRPr="00786576">
        <w:rPr>
          <w:rFonts w:ascii="Times New Roman" w:hAnsi="Times New Roman" w:cs="Times New Roman"/>
          <w:b/>
          <w:bCs/>
          <w:lang w:val="bs-Latn-BA" w:eastAsia="bs-Latn-BA"/>
        </w:rPr>
        <w:t>,00</w:t>
      </w:r>
      <w:r w:rsidRPr="00786576">
        <w:rPr>
          <w:rFonts w:ascii="Times New Roman" w:hAnsi="Times New Roman" w:cs="Times New Roman"/>
          <w:b/>
          <w:lang w:val="bs-Latn-BA"/>
        </w:rPr>
        <w:t xml:space="preserve"> KM</w:t>
      </w:r>
    </w:p>
    <w:p w14:paraId="02DA6D84" w14:textId="38DCE56B" w:rsidR="00A94D13" w:rsidRPr="00786576" w:rsidRDefault="00DC4887" w:rsidP="003D253A">
      <w:pPr>
        <w:numPr>
          <w:ilvl w:val="0"/>
          <w:numId w:val="22"/>
        </w:numPr>
        <w:pBdr>
          <w:bottom w:val="single" w:sz="4" w:space="1" w:color="auto"/>
        </w:pBdr>
        <w:spacing w:after="0"/>
        <w:jc w:val="left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b/>
          <w:lang w:val="bs-Latn-BA"/>
        </w:rPr>
        <w:t xml:space="preserve">Rashodi                                                                                                   </w:t>
      </w:r>
      <w:r w:rsidRPr="00786576">
        <w:rPr>
          <w:rFonts w:ascii="Times New Roman" w:hAnsi="Times New Roman" w:cs="Times New Roman"/>
          <w:b/>
          <w:bCs/>
          <w:lang w:val="bs-Latn-BA" w:eastAsia="bs-Latn-BA"/>
        </w:rPr>
        <w:t>3.787.</w:t>
      </w:r>
      <w:r w:rsidR="002C691F" w:rsidRPr="00786576">
        <w:rPr>
          <w:rFonts w:ascii="Times New Roman" w:hAnsi="Times New Roman" w:cs="Times New Roman"/>
          <w:b/>
          <w:bCs/>
          <w:lang w:val="bs-Latn-BA" w:eastAsia="bs-Latn-BA"/>
        </w:rPr>
        <w:t>26</w:t>
      </w:r>
      <w:r w:rsidR="00C560C1" w:rsidRPr="00786576">
        <w:rPr>
          <w:rFonts w:ascii="Times New Roman" w:hAnsi="Times New Roman" w:cs="Times New Roman"/>
          <w:b/>
          <w:bCs/>
          <w:lang w:val="bs-Latn-BA" w:eastAsia="bs-Latn-BA"/>
        </w:rPr>
        <w:t>6</w:t>
      </w:r>
      <w:r w:rsidRPr="00786576">
        <w:rPr>
          <w:rFonts w:ascii="Times New Roman" w:hAnsi="Times New Roman" w:cs="Times New Roman"/>
          <w:b/>
          <w:bCs/>
          <w:lang w:val="bs-Latn-BA" w:eastAsia="bs-Latn-BA"/>
        </w:rPr>
        <w:t>,00</w:t>
      </w:r>
      <w:r w:rsidRPr="00786576">
        <w:rPr>
          <w:rFonts w:ascii="Times New Roman" w:hAnsi="Times New Roman" w:cs="Times New Roman"/>
          <w:b/>
          <w:lang w:val="bs-Latn-BA"/>
        </w:rPr>
        <w:t xml:space="preserve"> KM</w:t>
      </w:r>
    </w:p>
    <w:p w14:paraId="4B3D1AAD" w14:textId="77777777" w:rsidR="005031C6" w:rsidRPr="00786576" w:rsidRDefault="005031C6" w:rsidP="00DC4887">
      <w:pPr>
        <w:jc w:val="center"/>
        <w:rPr>
          <w:rFonts w:ascii="Times New Roman" w:hAnsi="Times New Roman" w:cs="Times New Roman"/>
          <w:lang w:val="bs-Latn-BA"/>
        </w:rPr>
      </w:pPr>
    </w:p>
    <w:p w14:paraId="45AB42AE" w14:textId="6EA1AB7F" w:rsidR="00DC4887" w:rsidRPr="00786576" w:rsidRDefault="00DC4887" w:rsidP="00DC4887">
      <w:pPr>
        <w:jc w:val="center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>Član 3.</w:t>
      </w:r>
    </w:p>
    <w:p w14:paraId="250291BA" w14:textId="47E7805D" w:rsidR="00476D2F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Prihodi za </w:t>
      </w:r>
      <w:r w:rsidR="002C691F" w:rsidRPr="00786576">
        <w:rPr>
          <w:rFonts w:ascii="Times New Roman" w:hAnsi="Times New Roman" w:cs="Times New Roman"/>
          <w:lang w:val="bs-Latn-BA"/>
        </w:rPr>
        <w:t>2022</w:t>
      </w:r>
      <w:r w:rsidRPr="00786576">
        <w:rPr>
          <w:rFonts w:ascii="Times New Roman" w:hAnsi="Times New Roman" w:cs="Times New Roman"/>
          <w:lang w:val="bs-Latn-BA"/>
        </w:rPr>
        <w:t xml:space="preserve">. godinu koristit će se za redovno obavljanje djelatnosti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, te ukoliko se ostvari višak prihoda od </w:t>
      </w:r>
      <w:proofErr w:type="spellStart"/>
      <w:r w:rsidRPr="00786576">
        <w:rPr>
          <w:rFonts w:ascii="Times New Roman" w:hAnsi="Times New Roman" w:cs="Times New Roman"/>
          <w:lang w:val="bs-Latn-BA"/>
        </w:rPr>
        <w:t>regulatornih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i jednokratnih naknada kao i drugih naknada ostvarenih od poslova iz nadležnosti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, u odnosu na finansijski plan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, isti će se prenijeti u prihod za narednu </w:t>
      </w:r>
      <w:r w:rsidR="002C691F" w:rsidRPr="00786576">
        <w:rPr>
          <w:rFonts w:ascii="Times New Roman" w:hAnsi="Times New Roman" w:cs="Times New Roman"/>
          <w:lang w:val="bs-Latn-BA"/>
        </w:rPr>
        <w:t>2022</w:t>
      </w:r>
      <w:r w:rsidRPr="00786576">
        <w:rPr>
          <w:rFonts w:ascii="Times New Roman" w:hAnsi="Times New Roman" w:cs="Times New Roman"/>
          <w:lang w:val="bs-Latn-BA"/>
        </w:rPr>
        <w:t xml:space="preserve">. godinu, a sve u skladu sa stavom (3) člana 31. Zakona o </w:t>
      </w:r>
      <w:proofErr w:type="spellStart"/>
      <w:r w:rsidRPr="00786576">
        <w:rPr>
          <w:rFonts w:ascii="Times New Roman" w:hAnsi="Times New Roman" w:cs="Times New Roman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energiji u Federaciji Bosne i Hercegovine</w:t>
      </w:r>
      <w:r w:rsidR="00A30D9B" w:rsidRPr="00786576">
        <w:rPr>
          <w:rFonts w:ascii="Times New Roman" w:hAnsi="Times New Roman" w:cs="Times New Roman"/>
          <w:lang w:val="bs-Latn-BA"/>
        </w:rPr>
        <w:t>.</w:t>
      </w:r>
    </w:p>
    <w:p w14:paraId="3B6EA2E0" w14:textId="49A64B91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Budžet – prihodi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za </w:t>
      </w:r>
      <w:r w:rsidR="002C691F" w:rsidRPr="00786576">
        <w:rPr>
          <w:rFonts w:ascii="Times New Roman" w:hAnsi="Times New Roman" w:cs="Times New Roman"/>
          <w:lang w:val="bs-Latn-BA"/>
        </w:rPr>
        <w:t>2022</w:t>
      </w:r>
      <w:r w:rsidRPr="00786576">
        <w:rPr>
          <w:rFonts w:ascii="Times New Roman" w:hAnsi="Times New Roman" w:cs="Times New Roman"/>
          <w:lang w:val="bs-Latn-BA"/>
        </w:rPr>
        <w:t xml:space="preserve">. godinu 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DC4887" w:rsidRPr="00786576" w14:paraId="0C1A6055" w14:textId="77777777" w:rsidTr="007221F3">
        <w:trPr>
          <w:trHeight w:val="4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6B4C1C" w14:textId="77777777" w:rsidR="00DC4887" w:rsidRPr="00786576" w:rsidRDefault="00DC4887" w:rsidP="007221F3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Vrsta prihoda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5394C2" w14:textId="77777777" w:rsidR="00DC4887" w:rsidRPr="00786576" w:rsidRDefault="00DC4887" w:rsidP="007221F3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Iznos</w:t>
            </w:r>
          </w:p>
          <w:p w14:paraId="427E8E00" w14:textId="77777777" w:rsidR="00DC4887" w:rsidRPr="00786576" w:rsidRDefault="00DC4887" w:rsidP="007221F3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(KM)</w:t>
            </w:r>
          </w:p>
        </w:tc>
      </w:tr>
      <w:tr w:rsidR="00DC4887" w:rsidRPr="00786576" w14:paraId="519188FA" w14:textId="77777777" w:rsidTr="007221F3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578C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proofErr w:type="spellStart"/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Regulatorne</w:t>
            </w:r>
            <w:proofErr w:type="spellEnd"/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 xml:space="preserve"> naknade za obavljanje elektroprivrednih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7850" w14:textId="0BADDC23" w:rsidR="00DC4887" w:rsidRPr="00786576" w:rsidRDefault="006317E7" w:rsidP="00FD43EF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3.</w:t>
            </w:r>
            <w:r w:rsidR="002C691F" w:rsidRPr="00786576">
              <w:rPr>
                <w:rFonts w:ascii="Times New Roman" w:hAnsi="Times New Roman" w:cs="Times New Roman"/>
                <w:lang w:val="bs-Latn-BA"/>
              </w:rPr>
              <w:t>347</w:t>
            </w:r>
            <w:r w:rsidRPr="00786576">
              <w:rPr>
                <w:rFonts w:ascii="Times New Roman" w:hAnsi="Times New Roman" w:cs="Times New Roman"/>
                <w:lang w:val="bs-Latn-BA"/>
              </w:rPr>
              <w:t>.266,00</w:t>
            </w:r>
          </w:p>
        </w:tc>
      </w:tr>
      <w:tr w:rsidR="00DC4887" w:rsidRPr="00786576" w14:paraId="44CAE4AD" w14:textId="77777777" w:rsidTr="007221F3">
        <w:trPr>
          <w:trHeight w:hRule="exact"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B895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proofErr w:type="spellStart"/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Regulatorne</w:t>
            </w:r>
            <w:proofErr w:type="spellEnd"/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 xml:space="preserve"> naknade za obavljanje djelatnosti iz sektora naftne privrede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1D32" w14:textId="4090C850" w:rsidR="00DC4887" w:rsidRPr="00786576" w:rsidRDefault="00024612" w:rsidP="006317E7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300</w:t>
            </w:r>
            <w:r w:rsidR="00DC4887" w:rsidRPr="00786576">
              <w:rPr>
                <w:rFonts w:ascii="Times New Roman" w:hAnsi="Times New Roman" w:cs="Times New Roman"/>
                <w:lang w:val="bs-Latn-BA"/>
              </w:rPr>
              <w:t>.000,00</w:t>
            </w:r>
          </w:p>
        </w:tc>
      </w:tr>
      <w:tr w:rsidR="00DC4887" w:rsidRPr="00786576" w14:paraId="4F5AC28E" w14:textId="77777777" w:rsidTr="007221F3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8EB3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 xml:space="preserve">Jednokratne naknade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384E" w14:textId="4395A4F1" w:rsidR="00DC4887" w:rsidRPr="00786576" w:rsidRDefault="002C691F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100</w:t>
            </w:r>
            <w:r w:rsidR="00DC4887" w:rsidRPr="00786576">
              <w:rPr>
                <w:rFonts w:ascii="Times New Roman" w:hAnsi="Times New Roman" w:cs="Times New Roman"/>
                <w:lang w:val="bs-Latn-BA"/>
              </w:rPr>
              <w:t>.000,00</w:t>
            </w:r>
          </w:p>
        </w:tc>
      </w:tr>
      <w:tr w:rsidR="00DC4887" w:rsidRPr="00786576" w14:paraId="7AF198E9" w14:textId="77777777" w:rsidTr="007221F3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A098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 xml:space="preserve">Ostali prihodi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CD59" w14:textId="5EE5847F" w:rsidR="00DC4887" w:rsidRPr="00786576" w:rsidRDefault="002C691F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40</w:t>
            </w:r>
            <w:r w:rsidR="00DC4887" w:rsidRPr="00786576">
              <w:rPr>
                <w:rFonts w:ascii="Times New Roman" w:hAnsi="Times New Roman" w:cs="Times New Roman"/>
                <w:lang w:val="bs-Latn-BA"/>
              </w:rPr>
              <w:t>.000,00</w:t>
            </w:r>
          </w:p>
        </w:tc>
      </w:tr>
      <w:tr w:rsidR="00DC4887" w:rsidRPr="00786576" w14:paraId="3CA6CD55" w14:textId="77777777" w:rsidTr="007221F3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1840AB9" w14:textId="2618D8E6" w:rsidR="00DC4887" w:rsidRPr="00786576" w:rsidRDefault="00DC4887" w:rsidP="00FD43EF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 xml:space="preserve">UKUPNO PRIHODA ZA </w:t>
            </w:r>
            <w:r w:rsidR="002C691F"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2022</w:t>
            </w: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. 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19C1A38" w14:textId="2379660A" w:rsidR="00DC4887" w:rsidRPr="00786576" w:rsidRDefault="00DC4887" w:rsidP="00FD43EF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3.787.</w:t>
            </w:r>
            <w:r w:rsidR="0080152F" w:rsidRPr="00786576">
              <w:rPr>
                <w:rFonts w:ascii="Times New Roman" w:hAnsi="Times New Roman" w:cs="Times New Roman"/>
                <w:lang w:val="bs-Latn-BA"/>
              </w:rPr>
              <w:t>266</w:t>
            </w:r>
            <w:r w:rsidRPr="00786576">
              <w:rPr>
                <w:rFonts w:ascii="Times New Roman" w:hAnsi="Times New Roman" w:cs="Times New Roman"/>
                <w:lang w:val="bs-Latn-BA"/>
              </w:rPr>
              <w:t>,00</w:t>
            </w:r>
          </w:p>
        </w:tc>
      </w:tr>
    </w:tbl>
    <w:p w14:paraId="526C48DA" w14:textId="77777777" w:rsidR="005031C6" w:rsidRPr="00786576" w:rsidRDefault="005031C6" w:rsidP="00DC4887">
      <w:pPr>
        <w:rPr>
          <w:rFonts w:ascii="Times New Roman" w:hAnsi="Times New Roman" w:cs="Times New Roman"/>
          <w:color w:val="FF0000"/>
          <w:lang w:val="bs-Latn-BA"/>
        </w:rPr>
      </w:pPr>
    </w:p>
    <w:p w14:paraId="73D77C3E" w14:textId="77777777" w:rsidR="00DC4887" w:rsidRPr="00786576" w:rsidRDefault="00DC4887" w:rsidP="00DC4887">
      <w:pPr>
        <w:jc w:val="center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lastRenderedPageBreak/>
        <w:t>Član 4.</w:t>
      </w:r>
    </w:p>
    <w:p w14:paraId="4D1450AF" w14:textId="034C4BAD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Obzirom na specifičnost budžeta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ostavlja se mogućnost unutrašnje preraspodjele, tj. korekcija budžetskih stavki, u okviru odobrenih sredstava i to najviše do 10% između odobrenih potkategorija</w:t>
      </w:r>
      <w:r w:rsidRPr="00786576">
        <w:rPr>
          <w:rStyle w:val="CommentReference"/>
          <w:rFonts w:ascii="Times New Roman" w:hAnsi="Times New Roman" w:cs="Times New Roman"/>
          <w:sz w:val="22"/>
          <w:szCs w:val="22"/>
          <w:lang w:val="bs-Latn-BA"/>
        </w:rPr>
        <w:t xml:space="preserve"> s</w:t>
      </w:r>
      <w:r w:rsidRPr="00786576">
        <w:rPr>
          <w:rFonts w:ascii="Times New Roman" w:hAnsi="Times New Roman" w:cs="Times New Roman"/>
          <w:lang w:val="bs-Latn-BA"/>
        </w:rPr>
        <w:t xml:space="preserve">tavki budžeta. Korekcije će se provoditi internim odlukama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, koje će biti prezentirane Parlamentu Federacije BiH (ukoliko ih bude) sa finansijskim izvještajima u sklopu Izvještaja o radu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za </w:t>
      </w:r>
      <w:r w:rsidR="00CD06E2" w:rsidRPr="00786576">
        <w:rPr>
          <w:rFonts w:ascii="Times New Roman" w:hAnsi="Times New Roman" w:cs="Times New Roman"/>
          <w:lang w:val="bs-Latn-BA"/>
        </w:rPr>
        <w:t>2022</w:t>
      </w:r>
      <w:r w:rsidRPr="00786576">
        <w:rPr>
          <w:rFonts w:ascii="Times New Roman" w:hAnsi="Times New Roman" w:cs="Times New Roman"/>
          <w:lang w:val="bs-Latn-BA"/>
        </w:rPr>
        <w:t xml:space="preserve">. godinu, a sve u skladu sa članom 23. stav (1) Zakona o </w:t>
      </w:r>
      <w:proofErr w:type="spellStart"/>
      <w:r w:rsidRPr="00786576">
        <w:rPr>
          <w:rFonts w:ascii="Times New Roman" w:hAnsi="Times New Roman" w:cs="Times New Roman"/>
          <w:lang w:val="bs-Latn-BA"/>
        </w:rPr>
        <w:t>električnoj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energiji u Federaciji Bosne i Hercegovine.</w:t>
      </w:r>
    </w:p>
    <w:p w14:paraId="7879D2CF" w14:textId="20FFEE9C" w:rsidR="00DC4887" w:rsidRPr="00786576" w:rsidRDefault="00DC4887" w:rsidP="00DC4887">
      <w:pPr>
        <w:rPr>
          <w:rFonts w:ascii="Times New Roman" w:hAnsi="Times New Roman" w:cs="Times New Roman"/>
          <w:color w:val="FF0000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Budžet – rashodi </w:t>
      </w:r>
      <w:proofErr w:type="spellStart"/>
      <w:r w:rsidRPr="00786576">
        <w:rPr>
          <w:rFonts w:ascii="Times New Roman" w:hAnsi="Times New Roman" w:cs="Times New Roman"/>
          <w:lang w:val="bs-Latn-BA"/>
        </w:rPr>
        <w:t>FERK-a</w:t>
      </w:r>
      <w:proofErr w:type="spellEnd"/>
      <w:r w:rsidRPr="00786576">
        <w:rPr>
          <w:rFonts w:ascii="Times New Roman" w:hAnsi="Times New Roman" w:cs="Times New Roman"/>
          <w:lang w:val="bs-Latn-BA"/>
        </w:rPr>
        <w:t xml:space="preserve"> za </w:t>
      </w:r>
      <w:r w:rsidR="00CD06E2" w:rsidRPr="00786576">
        <w:rPr>
          <w:rFonts w:ascii="Times New Roman" w:hAnsi="Times New Roman" w:cs="Times New Roman"/>
          <w:lang w:val="bs-Latn-BA"/>
        </w:rPr>
        <w:t>2022</w:t>
      </w:r>
      <w:r w:rsidRPr="00786576">
        <w:rPr>
          <w:rFonts w:ascii="Times New Roman" w:hAnsi="Times New Roman" w:cs="Times New Roman"/>
          <w:lang w:val="bs-Latn-BA"/>
        </w:rPr>
        <w:t>. godinu</w:t>
      </w:r>
      <w:r w:rsidR="00A30D9B" w:rsidRPr="00786576">
        <w:rPr>
          <w:rFonts w:ascii="Times New Roman" w:hAnsi="Times New Roman" w:cs="Times New Roman"/>
          <w:lang w:val="bs-Latn-BA"/>
        </w:rPr>
        <w:t>:</w:t>
      </w:r>
    </w:p>
    <w:tbl>
      <w:tblPr>
        <w:tblW w:w="82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4148"/>
        <w:gridCol w:w="2526"/>
      </w:tblGrid>
      <w:tr w:rsidR="00DC4887" w:rsidRPr="00786576" w14:paraId="4EED5EC8" w14:textId="77777777" w:rsidTr="00FD43EF">
        <w:trPr>
          <w:trHeight w:val="810"/>
        </w:trPr>
        <w:tc>
          <w:tcPr>
            <w:tcW w:w="1596" w:type="dxa"/>
            <w:tcBorders>
              <w:bottom w:val="single" w:sz="4" w:space="0" w:color="auto"/>
            </w:tcBorders>
            <w:shd w:val="clear" w:color="000000" w:fill="A6A6A6"/>
            <w:vAlign w:val="center"/>
            <w:hideMark/>
          </w:tcPr>
          <w:p w14:paraId="7499358C" w14:textId="6CE6677F" w:rsidR="00DC4887" w:rsidRPr="00786576" w:rsidRDefault="00024612" w:rsidP="003D253A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K</w:t>
            </w:r>
            <w:r w:rsidR="00DC4887"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onto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000000" w:fill="A6A6A6"/>
            <w:vAlign w:val="center"/>
            <w:hideMark/>
          </w:tcPr>
          <w:p w14:paraId="34A840DC" w14:textId="77777777" w:rsidR="00DC4887" w:rsidRPr="00786576" w:rsidRDefault="00DC4887" w:rsidP="003D253A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Opis stavke Budžeta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000000" w:fill="A6A6A6"/>
            <w:vAlign w:val="center"/>
            <w:hideMark/>
          </w:tcPr>
          <w:p w14:paraId="35CCFB49" w14:textId="77777777" w:rsidR="00DC4887" w:rsidRPr="00786576" w:rsidRDefault="00DC4887" w:rsidP="003D253A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Iznos</w:t>
            </w:r>
          </w:p>
          <w:p w14:paraId="13D0DE50" w14:textId="702352C2" w:rsidR="00DC4887" w:rsidRPr="00786576" w:rsidRDefault="00DC4887" w:rsidP="003D253A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(KM)</w:t>
            </w:r>
          </w:p>
        </w:tc>
      </w:tr>
      <w:tr w:rsidR="00DC4887" w:rsidRPr="00786576" w14:paraId="6D4605F3" w14:textId="77777777" w:rsidTr="00FD43EF">
        <w:trPr>
          <w:trHeight w:val="285"/>
        </w:trPr>
        <w:tc>
          <w:tcPr>
            <w:tcW w:w="1596" w:type="dxa"/>
            <w:shd w:val="clear" w:color="000000" w:fill="D9D9D9"/>
            <w:noWrap/>
            <w:hideMark/>
          </w:tcPr>
          <w:p w14:paraId="0359EF95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6111</w:t>
            </w:r>
          </w:p>
        </w:tc>
        <w:tc>
          <w:tcPr>
            <w:tcW w:w="4148" w:type="dxa"/>
            <w:shd w:val="clear" w:color="000000" w:fill="D9D9D9"/>
            <w:hideMark/>
          </w:tcPr>
          <w:p w14:paraId="2C48E133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 xml:space="preserve">Bruto plate i naknade </w:t>
            </w:r>
            <w:proofErr w:type="spellStart"/>
            <w:r w:rsidRPr="00786576">
              <w:rPr>
                <w:rFonts w:ascii="Times New Roman" w:hAnsi="Times New Roman" w:cs="Times New Roman"/>
                <w:lang w:val="bs-Latn-BA"/>
              </w:rPr>
              <w:t>zaposlenima</w:t>
            </w:r>
            <w:proofErr w:type="spellEnd"/>
          </w:p>
        </w:tc>
        <w:tc>
          <w:tcPr>
            <w:tcW w:w="2526" w:type="dxa"/>
            <w:shd w:val="clear" w:color="000000" w:fill="D9D9D9"/>
            <w:noWrap/>
            <w:hideMark/>
          </w:tcPr>
          <w:p w14:paraId="02F4329B" w14:textId="223AE162" w:rsidR="00DC4887" w:rsidRPr="00786576" w:rsidRDefault="0089482D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2.276.507,00</w:t>
            </w:r>
          </w:p>
        </w:tc>
      </w:tr>
      <w:tr w:rsidR="00DC4887" w:rsidRPr="00786576" w14:paraId="42EEC54D" w14:textId="77777777" w:rsidTr="00FD43EF">
        <w:trPr>
          <w:trHeight w:val="300"/>
        </w:trPr>
        <w:tc>
          <w:tcPr>
            <w:tcW w:w="1596" w:type="dxa"/>
            <w:shd w:val="clear" w:color="000000" w:fill="D9D9D9"/>
            <w:noWrap/>
            <w:hideMark/>
          </w:tcPr>
          <w:p w14:paraId="325F2A79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6112</w:t>
            </w:r>
          </w:p>
        </w:tc>
        <w:tc>
          <w:tcPr>
            <w:tcW w:w="4148" w:type="dxa"/>
            <w:shd w:val="clear" w:color="000000" w:fill="D9D9D9"/>
            <w:hideMark/>
          </w:tcPr>
          <w:p w14:paraId="07ED43CB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Naknada troškova zaposlenih</w:t>
            </w:r>
          </w:p>
        </w:tc>
        <w:tc>
          <w:tcPr>
            <w:tcW w:w="2526" w:type="dxa"/>
            <w:shd w:val="clear" w:color="000000" w:fill="D9D9D9"/>
            <w:noWrap/>
            <w:hideMark/>
          </w:tcPr>
          <w:p w14:paraId="344E8270" w14:textId="47E52E63" w:rsidR="00DC4887" w:rsidRPr="00786576" w:rsidRDefault="0089482D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207.800,00</w:t>
            </w:r>
          </w:p>
        </w:tc>
      </w:tr>
      <w:tr w:rsidR="00DC4887" w:rsidRPr="00786576" w14:paraId="55ABDD86" w14:textId="77777777" w:rsidTr="00FD43EF">
        <w:trPr>
          <w:trHeight w:val="285"/>
        </w:trPr>
        <w:tc>
          <w:tcPr>
            <w:tcW w:w="1596" w:type="dxa"/>
            <w:shd w:val="clear" w:color="000000" w:fill="D9D9D9"/>
            <w:noWrap/>
            <w:hideMark/>
          </w:tcPr>
          <w:p w14:paraId="5D13E0CE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612</w:t>
            </w:r>
          </w:p>
        </w:tc>
        <w:tc>
          <w:tcPr>
            <w:tcW w:w="4148" w:type="dxa"/>
            <w:shd w:val="clear" w:color="000000" w:fill="D9D9D9"/>
            <w:hideMark/>
          </w:tcPr>
          <w:p w14:paraId="5EA423C3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 xml:space="preserve">Doprinosi poslodavca </w:t>
            </w:r>
          </w:p>
        </w:tc>
        <w:tc>
          <w:tcPr>
            <w:tcW w:w="2526" w:type="dxa"/>
            <w:shd w:val="clear" w:color="000000" w:fill="D9D9D9"/>
            <w:noWrap/>
            <w:hideMark/>
          </w:tcPr>
          <w:p w14:paraId="59FCE361" w14:textId="0ADE81B2" w:rsidR="00DC4887" w:rsidRPr="00786576" w:rsidRDefault="0089482D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258.270,00</w:t>
            </w:r>
          </w:p>
        </w:tc>
      </w:tr>
      <w:tr w:rsidR="00DC4887" w:rsidRPr="00786576" w14:paraId="13C61801" w14:textId="77777777" w:rsidTr="00FD43EF">
        <w:trPr>
          <w:trHeight w:val="437"/>
        </w:trPr>
        <w:tc>
          <w:tcPr>
            <w:tcW w:w="1596" w:type="dxa"/>
            <w:shd w:val="clear" w:color="000000" w:fill="D9D9D9"/>
            <w:noWrap/>
            <w:hideMark/>
          </w:tcPr>
          <w:p w14:paraId="3D5E3CFD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</w:t>
            </w:r>
          </w:p>
        </w:tc>
        <w:tc>
          <w:tcPr>
            <w:tcW w:w="4148" w:type="dxa"/>
            <w:shd w:val="clear" w:color="000000" w:fill="D9D9D9"/>
            <w:hideMark/>
          </w:tcPr>
          <w:p w14:paraId="6356918C" w14:textId="77777777" w:rsidR="00DC4887" w:rsidRPr="00786576" w:rsidRDefault="00DC4887" w:rsidP="007221F3">
            <w:pPr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Izdaci za materijal i usluge</w:t>
            </w:r>
          </w:p>
        </w:tc>
        <w:tc>
          <w:tcPr>
            <w:tcW w:w="2526" w:type="dxa"/>
            <w:shd w:val="clear" w:color="000000" w:fill="D9D9D9"/>
            <w:noWrap/>
            <w:hideMark/>
          </w:tcPr>
          <w:p w14:paraId="0B1A8752" w14:textId="1571AA72" w:rsidR="006D3E0D" w:rsidRPr="00786576" w:rsidRDefault="005E45B7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524.689,00</w:t>
            </w:r>
          </w:p>
        </w:tc>
      </w:tr>
      <w:tr w:rsidR="00DC4887" w:rsidRPr="00786576" w14:paraId="6CC515B3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31938F38" w14:textId="48AC4B6E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6131</w:t>
            </w:r>
          </w:p>
        </w:tc>
        <w:tc>
          <w:tcPr>
            <w:tcW w:w="4148" w:type="dxa"/>
            <w:shd w:val="clear" w:color="auto" w:fill="auto"/>
            <w:hideMark/>
          </w:tcPr>
          <w:p w14:paraId="04EA1B4F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Putni troškovi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24264F83" w14:textId="4A22C7B3" w:rsidR="008F2406" w:rsidRPr="00786576" w:rsidRDefault="0089482D" w:rsidP="00FD43EF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64.000,00</w:t>
            </w:r>
          </w:p>
        </w:tc>
      </w:tr>
      <w:tr w:rsidR="00DC4887" w:rsidRPr="00786576" w14:paraId="0C67D8E3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5FDE6E4F" w14:textId="5684EBDE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6132</w:t>
            </w:r>
          </w:p>
        </w:tc>
        <w:tc>
          <w:tcPr>
            <w:tcW w:w="4148" w:type="dxa"/>
            <w:shd w:val="clear" w:color="auto" w:fill="auto"/>
            <w:hideMark/>
          </w:tcPr>
          <w:p w14:paraId="733AB752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Izdaci za energiju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2E97B0D6" w14:textId="55E67825" w:rsidR="00DC4887" w:rsidRPr="00786576" w:rsidRDefault="008F2406" w:rsidP="006D3E0D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14</w:t>
            </w:r>
            <w:r w:rsidR="00C560C1" w:rsidRPr="00786576">
              <w:rPr>
                <w:rFonts w:ascii="Times New Roman" w:hAnsi="Times New Roman" w:cs="Times New Roman"/>
                <w:lang w:val="bs-Latn-BA"/>
              </w:rPr>
              <w:t>.</w:t>
            </w:r>
            <w:r w:rsidRPr="00786576">
              <w:rPr>
                <w:rFonts w:ascii="Times New Roman" w:hAnsi="Times New Roman" w:cs="Times New Roman"/>
                <w:lang w:val="bs-Latn-BA"/>
              </w:rPr>
              <w:t>000,00</w:t>
            </w:r>
          </w:p>
        </w:tc>
      </w:tr>
      <w:tr w:rsidR="00DC4887" w:rsidRPr="00786576" w14:paraId="50F93D0F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06F83976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6133</w:t>
            </w:r>
          </w:p>
        </w:tc>
        <w:tc>
          <w:tcPr>
            <w:tcW w:w="4148" w:type="dxa"/>
            <w:shd w:val="clear" w:color="auto" w:fill="auto"/>
            <w:hideMark/>
          </w:tcPr>
          <w:p w14:paraId="7BC111CB" w14:textId="29BC4F7E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 xml:space="preserve">Izdaci za komunalne usluge </w:t>
            </w:r>
            <w:r w:rsidR="00A30D9B" w:rsidRPr="00786576">
              <w:rPr>
                <w:rFonts w:ascii="Times New Roman" w:hAnsi="Times New Roman" w:cs="Times New Roman"/>
                <w:lang w:val="bs-Latn-BA"/>
              </w:rPr>
              <w:t xml:space="preserve">i </w:t>
            </w:r>
            <w:r w:rsidRPr="00786576">
              <w:rPr>
                <w:rFonts w:ascii="Times New Roman" w:hAnsi="Times New Roman" w:cs="Times New Roman"/>
                <w:lang w:val="bs-Latn-BA"/>
              </w:rPr>
              <w:t>komunikaciju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38D4A636" w14:textId="5528D1DB" w:rsidR="00DC4887" w:rsidRPr="00786576" w:rsidRDefault="008F2406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29.870,00</w:t>
            </w:r>
          </w:p>
        </w:tc>
      </w:tr>
      <w:tr w:rsidR="00DC4887" w:rsidRPr="00786576" w14:paraId="515E4469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04A84151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6134</w:t>
            </w:r>
          </w:p>
        </w:tc>
        <w:tc>
          <w:tcPr>
            <w:tcW w:w="4148" w:type="dxa"/>
            <w:shd w:val="clear" w:color="auto" w:fill="auto"/>
            <w:hideMark/>
          </w:tcPr>
          <w:p w14:paraId="45DE843C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Administrativni materijal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0483DA67" w14:textId="3353FF5C" w:rsidR="00DC4887" w:rsidRPr="00786576" w:rsidRDefault="0089482D" w:rsidP="0089482D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23</w:t>
            </w:r>
            <w:r w:rsidR="008F2406" w:rsidRPr="00786576">
              <w:rPr>
                <w:rFonts w:ascii="Times New Roman" w:hAnsi="Times New Roman" w:cs="Times New Roman"/>
                <w:lang w:val="bs-Latn-BA"/>
              </w:rPr>
              <w:t>.500,00</w:t>
            </w:r>
          </w:p>
        </w:tc>
      </w:tr>
      <w:tr w:rsidR="00DC4887" w:rsidRPr="00786576" w14:paraId="5766AB7A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28734351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6135</w:t>
            </w:r>
          </w:p>
        </w:tc>
        <w:tc>
          <w:tcPr>
            <w:tcW w:w="4148" w:type="dxa"/>
            <w:shd w:val="clear" w:color="auto" w:fill="auto"/>
            <w:hideMark/>
          </w:tcPr>
          <w:p w14:paraId="68EA45BA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Izdaci za usluge prevoza i goriva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7E81DF76" w14:textId="38784463" w:rsidR="00DC4887" w:rsidRPr="00786576" w:rsidRDefault="00C560C1" w:rsidP="006D3E0D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16</w:t>
            </w:r>
            <w:r w:rsidR="008F2406" w:rsidRPr="00786576">
              <w:rPr>
                <w:rFonts w:ascii="Times New Roman" w:hAnsi="Times New Roman" w:cs="Times New Roman"/>
                <w:lang w:val="bs-Latn-BA"/>
              </w:rPr>
              <w:t>.</w:t>
            </w:r>
            <w:r w:rsidR="0089482D" w:rsidRPr="00786576">
              <w:rPr>
                <w:rFonts w:ascii="Times New Roman" w:hAnsi="Times New Roman" w:cs="Times New Roman"/>
                <w:lang w:val="bs-Latn-BA"/>
              </w:rPr>
              <w:t>2</w:t>
            </w:r>
            <w:r w:rsidR="008F2406" w:rsidRPr="00786576">
              <w:rPr>
                <w:rFonts w:ascii="Times New Roman" w:hAnsi="Times New Roman" w:cs="Times New Roman"/>
                <w:lang w:val="bs-Latn-BA"/>
              </w:rPr>
              <w:t>00,00</w:t>
            </w:r>
          </w:p>
        </w:tc>
      </w:tr>
      <w:tr w:rsidR="00DC4887" w:rsidRPr="00786576" w14:paraId="04133521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18CD39AB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6136</w:t>
            </w:r>
          </w:p>
        </w:tc>
        <w:tc>
          <w:tcPr>
            <w:tcW w:w="4148" w:type="dxa"/>
            <w:shd w:val="clear" w:color="auto" w:fill="auto"/>
            <w:hideMark/>
          </w:tcPr>
          <w:p w14:paraId="142A2081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Unajmljivanje imovine i opreme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2F2D9E00" w14:textId="2B87EA31" w:rsidR="00DC4887" w:rsidRPr="00786576" w:rsidRDefault="008F2406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187.745,00</w:t>
            </w:r>
          </w:p>
        </w:tc>
      </w:tr>
      <w:tr w:rsidR="00DC4887" w:rsidRPr="00786576" w14:paraId="0D486047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6FE9DF45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6137</w:t>
            </w:r>
          </w:p>
        </w:tc>
        <w:tc>
          <w:tcPr>
            <w:tcW w:w="4148" w:type="dxa"/>
            <w:shd w:val="clear" w:color="auto" w:fill="auto"/>
            <w:hideMark/>
          </w:tcPr>
          <w:p w14:paraId="7A274150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 xml:space="preserve">Materijal i usluge </w:t>
            </w:r>
            <w:proofErr w:type="spellStart"/>
            <w:r w:rsidRPr="00786576">
              <w:rPr>
                <w:rFonts w:ascii="Times New Roman" w:hAnsi="Times New Roman" w:cs="Times New Roman"/>
                <w:lang w:val="bs-Latn-BA"/>
              </w:rPr>
              <w:t>opravki</w:t>
            </w:r>
            <w:proofErr w:type="spellEnd"/>
            <w:r w:rsidRPr="00786576">
              <w:rPr>
                <w:rFonts w:ascii="Times New Roman" w:hAnsi="Times New Roman" w:cs="Times New Roman"/>
                <w:lang w:val="bs-Latn-BA"/>
              </w:rPr>
              <w:t xml:space="preserve"> i održavanja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4F01A5F4" w14:textId="78E46D3E" w:rsidR="00DC4887" w:rsidRPr="00786576" w:rsidRDefault="0089482D" w:rsidP="0089482D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35</w:t>
            </w:r>
            <w:r w:rsidR="008F2406" w:rsidRPr="00786576">
              <w:rPr>
                <w:rFonts w:ascii="Times New Roman" w:hAnsi="Times New Roman" w:cs="Times New Roman"/>
                <w:lang w:val="bs-Latn-BA"/>
              </w:rPr>
              <w:t>.000,00</w:t>
            </w:r>
          </w:p>
        </w:tc>
      </w:tr>
      <w:tr w:rsidR="00DC4887" w:rsidRPr="00786576" w14:paraId="724B52BB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2CA24715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6138</w:t>
            </w:r>
          </w:p>
        </w:tc>
        <w:tc>
          <w:tcPr>
            <w:tcW w:w="4148" w:type="dxa"/>
            <w:shd w:val="clear" w:color="auto" w:fill="auto"/>
            <w:hideMark/>
          </w:tcPr>
          <w:p w14:paraId="688DA873" w14:textId="185EE9BD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Izdaci osig</w:t>
            </w:r>
            <w:r w:rsidR="00861E3E" w:rsidRPr="00786576">
              <w:rPr>
                <w:rFonts w:ascii="Times New Roman" w:hAnsi="Times New Roman" w:cs="Times New Roman"/>
                <w:lang w:val="bs-Latn-BA"/>
              </w:rPr>
              <w:t>uranja</w:t>
            </w:r>
            <w:r w:rsidRPr="00786576">
              <w:rPr>
                <w:rFonts w:ascii="Times New Roman" w:hAnsi="Times New Roman" w:cs="Times New Roman"/>
                <w:lang w:val="bs-Latn-BA"/>
              </w:rPr>
              <w:t>,</w:t>
            </w:r>
            <w:r w:rsidR="00861E3E" w:rsidRPr="00786576">
              <w:rPr>
                <w:rFonts w:ascii="Times New Roman" w:hAnsi="Times New Roman" w:cs="Times New Roman"/>
                <w:lang w:val="bs-Latn-BA"/>
              </w:rPr>
              <w:t xml:space="preserve"> </w:t>
            </w:r>
            <w:proofErr w:type="spellStart"/>
            <w:r w:rsidRPr="00786576">
              <w:rPr>
                <w:rFonts w:ascii="Times New Roman" w:hAnsi="Times New Roman" w:cs="Times New Roman"/>
                <w:lang w:val="bs-Latn-BA"/>
              </w:rPr>
              <w:t>bank</w:t>
            </w:r>
            <w:r w:rsidR="00861E3E" w:rsidRPr="00786576">
              <w:rPr>
                <w:rFonts w:ascii="Times New Roman" w:hAnsi="Times New Roman" w:cs="Times New Roman"/>
                <w:lang w:val="bs-Latn-BA"/>
              </w:rPr>
              <w:t>arskih</w:t>
            </w:r>
            <w:proofErr w:type="spellEnd"/>
            <w:r w:rsidR="00861E3E" w:rsidRPr="00786576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786576">
              <w:rPr>
                <w:rFonts w:ascii="Times New Roman" w:hAnsi="Times New Roman" w:cs="Times New Roman"/>
                <w:lang w:val="bs-Latn-BA"/>
              </w:rPr>
              <w:t>usl</w:t>
            </w:r>
            <w:r w:rsidR="00DD068C" w:rsidRPr="00786576">
              <w:rPr>
                <w:rFonts w:ascii="Times New Roman" w:hAnsi="Times New Roman" w:cs="Times New Roman"/>
                <w:lang w:val="bs-Latn-BA"/>
              </w:rPr>
              <w:t xml:space="preserve">uga </w:t>
            </w:r>
            <w:r w:rsidRPr="00786576">
              <w:rPr>
                <w:rFonts w:ascii="Times New Roman" w:hAnsi="Times New Roman" w:cs="Times New Roman"/>
                <w:lang w:val="bs-Latn-BA"/>
              </w:rPr>
              <w:t>i uslug</w:t>
            </w:r>
            <w:r w:rsidR="00DD068C" w:rsidRPr="00786576">
              <w:rPr>
                <w:rFonts w:ascii="Times New Roman" w:hAnsi="Times New Roman" w:cs="Times New Roman"/>
                <w:lang w:val="bs-Latn-BA"/>
              </w:rPr>
              <w:t>a</w:t>
            </w:r>
            <w:r w:rsidRPr="00786576">
              <w:rPr>
                <w:rFonts w:ascii="Times New Roman" w:hAnsi="Times New Roman" w:cs="Times New Roman"/>
                <w:lang w:val="bs-Latn-BA"/>
              </w:rPr>
              <w:t xml:space="preserve"> platnog prometa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1D8429FB" w14:textId="459F0F2F" w:rsidR="00DC4887" w:rsidRPr="00786576" w:rsidRDefault="008F2406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19.300,00</w:t>
            </w:r>
          </w:p>
        </w:tc>
      </w:tr>
      <w:tr w:rsidR="00DC4887" w:rsidRPr="00786576" w14:paraId="7C455B9E" w14:textId="77777777" w:rsidTr="00FD43EF">
        <w:trPr>
          <w:trHeight w:val="300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1B3E3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6139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4EF14C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Ugovorene i druge posebne usluge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8B9E50" w14:textId="6E3FD736" w:rsidR="00DC4887" w:rsidRPr="00786576" w:rsidRDefault="0089482D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135.074,00</w:t>
            </w:r>
          </w:p>
        </w:tc>
      </w:tr>
      <w:tr w:rsidR="00DC4887" w:rsidRPr="00786576" w14:paraId="37E79FAC" w14:textId="77777777" w:rsidTr="00FD43EF">
        <w:trPr>
          <w:trHeight w:val="300"/>
        </w:trPr>
        <w:tc>
          <w:tcPr>
            <w:tcW w:w="1596" w:type="dxa"/>
            <w:shd w:val="clear" w:color="000000" w:fill="D9D9D9"/>
            <w:noWrap/>
            <w:hideMark/>
          </w:tcPr>
          <w:p w14:paraId="0BD8C6A5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821</w:t>
            </w:r>
          </w:p>
        </w:tc>
        <w:tc>
          <w:tcPr>
            <w:tcW w:w="4148" w:type="dxa"/>
            <w:shd w:val="clear" w:color="000000" w:fill="D9D9D9"/>
            <w:hideMark/>
          </w:tcPr>
          <w:p w14:paraId="1649605E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Kapitalni rashodi</w:t>
            </w:r>
          </w:p>
        </w:tc>
        <w:tc>
          <w:tcPr>
            <w:tcW w:w="2526" w:type="dxa"/>
            <w:shd w:val="clear" w:color="000000" w:fill="D9D9D9"/>
            <w:noWrap/>
            <w:hideMark/>
          </w:tcPr>
          <w:p w14:paraId="1802A103" w14:textId="1D73FBF1" w:rsidR="00DC4887" w:rsidRPr="00786576" w:rsidRDefault="008F2406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520.000,00</w:t>
            </w:r>
          </w:p>
        </w:tc>
      </w:tr>
      <w:tr w:rsidR="00DC4887" w:rsidRPr="00786576" w14:paraId="71346FE3" w14:textId="77777777" w:rsidTr="00FD43EF">
        <w:trPr>
          <w:trHeight w:val="300"/>
        </w:trPr>
        <w:tc>
          <w:tcPr>
            <w:tcW w:w="1596" w:type="dxa"/>
            <w:shd w:val="clear" w:color="auto" w:fill="auto"/>
            <w:noWrap/>
            <w:hideMark/>
          </w:tcPr>
          <w:p w14:paraId="4BE54A12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821300</w:t>
            </w:r>
          </w:p>
        </w:tc>
        <w:tc>
          <w:tcPr>
            <w:tcW w:w="4148" w:type="dxa"/>
            <w:shd w:val="clear" w:color="auto" w:fill="auto"/>
            <w:hideMark/>
          </w:tcPr>
          <w:p w14:paraId="36578468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Nabavka opreme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567F6AE3" w14:textId="05951D7A" w:rsidR="00DC4887" w:rsidRPr="00786576" w:rsidRDefault="008F2406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75.000,00</w:t>
            </w:r>
          </w:p>
        </w:tc>
      </w:tr>
      <w:tr w:rsidR="00DC4887" w:rsidRPr="00786576" w14:paraId="3E456229" w14:textId="77777777" w:rsidTr="00FD43EF">
        <w:trPr>
          <w:trHeight w:val="323"/>
        </w:trPr>
        <w:tc>
          <w:tcPr>
            <w:tcW w:w="1596" w:type="dxa"/>
            <w:shd w:val="clear" w:color="auto" w:fill="auto"/>
            <w:noWrap/>
            <w:hideMark/>
          </w:tcPr>
          <w:p w14:paraId="03B5471D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821500</w:t>
            </w:r>
          </w:p>
        </w:tc>
        <w:tc>
          <w:tcPr>
            <w:tcW w:w="4148" w:type="dxa"/>
            <w:shd w:val="clear" w:color="auto" w:fill="auto"/>
            <w:hideMark/>
          </w:tcPr>
          <w:p w14:paraId="5C75C986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Nabavka stalnih sredstava u obliku prava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5ED220E9" w14:textId="2B284C67" w:rsidR="00DC4887" w:rsidRPr="00786576" w:rsidRDefault="008F2406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45.000,00</w:t>
            </w:r>
          </w:p>
        </w:tc>
      </w:tr>
      <w:tr w:rsidR="00DC4887" w:rsidRPr="00786576" w14:paraId="381EC316" w14:textId="77777777" w:rsidTr="00FD43EF">
        <w:trPr>
          <w:trHeight w:val="471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4DD1A5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821000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709D55" w14:textId="77777777" w:rsidR="00DC4887" w:rsidRPr="00786576" w:rsidRDefault="00DC4887" w:rsidP="007221F3">
            <w:pPr>
              <w:rPr>
                <w:rFonts w:ascii="Times New Roman" w:hAnsi="Times New Roman" w:cs="Times New Roman"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Nabavka stalnih sredstava (zemljište i građevina)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09022" w14:textId="77777777" w:rsidR="00DC4887" w:rsidRPr="00786576" w:rsidRDefault="00DC4887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</w:p>
          <w:p w14:paraId="31B6426B" w14:textId="7B46C56D" w:rsidR="00DC4887" w:rsidRPr="00786576" w:rsidRDefault="008F2406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400.000,00</w:t>
            </w:r>
          </w:p>
        </w:tc>
      </w:tr>
      <w:tr w:rsidR="00A30D9B" w:rsidRPr="00786576" w14:paraId="7D1A8F7E" w14:textId="77777777" w:rsidTr="00FD43EF">
        <w:trPr>
          <w:trHeight w:val="383"/>
        </w:trPr>
        <w:tc>
          <w:tcPr>
            <w:tcW w:w="5744" w:type="dxa"/>
            <w:gridSpan w:val="2"/>
            <w:shd w:val="clear" w:color="000000" w:fill="A6A6A6"/>
            <w:noWrap/>
            <w:vAlign w:val="bottom"/>
            <w:hideMark/>
          </w:tcPr>
          <w:p w14:paraId="16BABF2B" w14:textId="6510D5B7" w:rsidR="00A30D9B" w:rsidRPr="00786576" w:rsidRDefault="00A30D9B" w:rsidP="00FD43EF">
            <w:pPr>
              <w:jc w:val="center"/>
              <w:rPr>
                <w:rFonts w:ascii="Times New Roman" w:hAnsi="Times New Roman" w:cs="Times New Roman"/>
                <w:bCs/>
                <w:lang w:val="bs-Latn-BA" w:eastAsia="bs-Latn-BA"/>
              </w:rPr>
            </w:pP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 xml:space="preserve">UKUPNO RASHODA ZA </w:t>
            </w:r>
            <w:r w:rsidR="008F2406"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2022</w:t>
            </w:r>
            <w:r w:rsidRPr="00786576">
              <w:rPr>
                <w:rFonts w:ascii="Times New Roman" w:hAnsi="Times New Roman" w:cs="Times New Roman"/>
                <w:bCs/>
                <w:lang w:val="bs-Latn-BA" w:eastAsia="bs-Latn-BA"/>
              </w:rPr>
              <w:t>. GODINU</w:t>
            </w:r>
          </w:p>
        </w:tc>
        <w:tc>
          <w:tcPr>
            <w:tcW w:w="2526" w:type="dxa"/>
            <w:shd w:val="clear" w:color="000000" w:fill="A6A6A6"/>
            <w:noWrap/>
            <w:hideMark/>
          </w:tcPr>
          <w:p w14:paraId="154495D0" w14:textId="77777777" w:rsidR="00A30D9B" w:rsidRPr="00786576" w:rsidRDefault="00A30D9B" w:rsidP="007221F3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</w:p>
          <w:p w14:paraId="03340117" w14:textId="4B77105D" w:rsidR="00A30D9B" w:rsidRPr="00786576" w:rsidRDefault="00A30D9B">
            <w:pPr>
              <w:jc w:val="right"/>
              <w:rPr>
                <w:rFonts w:ascii="Times New Roman" w:hAnsi="Times New Roman" w:cs="Times New Roman"/>
                <w:lang w:val="bs-Latn-BA"/>
              </w:rPr>
            </w:pPr>
            <w:r w:rsidRPr="00786576">
              <w:rPr>
                <w:rFonts w:ascii="Times New Roman" w:hAnsi="Times New Roman" w:cs="Times New Roman"/>
                <w:lang w:val="bs-Latn-BA"/>
              </w:rPr>
              <w:t>3.787.</w:t>
            </w:r>
            <w:r w:rsidR="00C560C1" w:rsidRPr="00786576">
              <w:rPr>
                <w:rFonts w:ascii="Times New Roman" w:hAnsi="Times New Roman" w:cs="Times New Roman"/>
                <w:lang w:val="bs-Latn-BA"/>
              </w:rPr>
              <w:t>266</w:t>
            </w:r>
            <w:r w:rsidRPr="00786576">
              <w:rPr>
                <w:rFonts w:ascii="Times New Roman" w:hAnsi="Times New Roman" w:cs="Times New Roman"/>
                <w:lang w:val="bs-Latn-BA"/>
              </w:rPr>
              <w:t>,00</w:t>
            </w:r>
          </w:p>
        </w:tc>
      </w:tr>
    </w:tbl>
    <w:p w14:paraId="1F9B6040" w14:textId="77777777" w:rsidR="005031C6" w:rsidRPr="00786576" w:rsidRDefault="005031C6" w:rsidP="00DC4887">
      <w:pPr>
        <w:rPr>
          <w:rFonts w:ascii="Times New Roman" w:hAnsi="Times New Roman" w:cs="Times New Roman"/>
          <w:color w:val="FF0000"/>
          <w:lang w:val="bs-Latn-BA"/>
        </w:rPr>
      </w:pPr>
    </w:p>
    <w:p w14:paraId="004A9C67" w14:textId="77777777" w:rsidR="00DC4887" w:rsidRPr="00786576" w:rsidRDefault="00DC4887" w:rsidP="00DC4887">
      <w:pPr>
        <w:jc w:val="center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>Član 5.</w:t>
      </w:r>
    </w:p>
    <w:p w14:paraId="570E4386" w14:textId="5917E143" w:rsidR="00DC4887" w:rsidRPr="00786576" w:rsidRDefault="00DC4887" w:rsidP="00DC4887">
      <w:pPr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lang w:val="bs-Latn-BA"/>
        </w:rPr>
        <w:t xml:space="preserve">Ovaj budžet stupa na snagu narednog dana od dana objavljivanja u „Službenim novinama Federacije BiH“ i primjenjivat će se u poslovnoj </w:t>
      </w:r>
      <w:r w:rsidR="008F2406" w:rsidRPr="00786576">
        <w:rPr>
          <w:rFonts w:ascii="Times New Roman" w:hAnsi="Times New Roman" w:cs="Times New Roman"/>
          <w:lang w:val="bs-Latn-BA"/>
        </w:rPr>
        <w:t>2022</w:t>
      </w:r>
      <w:r w:rsidRPr="00786576">
        <w:rPr>
          <w:rFonts w:ascii="Times New Roman" w:hAnsi="Times New Roman" w:cs="Times New Roman"/>
          <w:lang w:val="bs-Latn-BA"/>
        </w:rPr>
        <w:t>. godini.</w:t>
      </w:r>
    </w:p>
    <w:p w14:paraId="20F3C884" w14:textId="172CBA84" w:rsidR="00DC4887" w:rsidRPr="00786576" w:rsidRDefault="00DC4887" w:rsidP="003D253A">
      <w:pPr>
        <w:jc w:val="left"/>
        <w:rPr>
          <w:rFonts w:ascii="Times New Roman" w:hAnsi="Times New Roman" w:cs="Times New Roman"/>
          <w:lang w:val="bs-Latn-BA"/>
        </w:rPr>
      </w:pPr>
      <w:r w:rsidRPr="00786576">
        <w:rPr>
          <w:rFonts w:ascii="Times New Roman" w:hAnsi="Times New Roman" w:cs="Times New Roman"/>
          <w:b/>
          <w:lang w:val="bs-Latn-BA"/>
        </w:rPr>
        <w:t>Mostar</w:t>
      </w:r>
      <w:r w:rsidR="007221F3" w:rsidRPr="00786576">
        <w:rPr>
          <w:rFonts w:ascii="Times New Roman" w:hAnsi="Times New Roman" w:cs="Times New Roman"/>
          <w:b/>
          <w:lang w:val="bs-Latn-BA"/>
        </w:rPr>
        <w:t xml:space="preserve">, </w:t>
      </w:r>
      <w:r w:rsidR="006767D8">
        <w:rPr>
          <w:rFonts w:ascii="Times New Roman" w:hAnsi="Times New Roman" w:cs="Times New Roman"/>
          <w:b/>
          <w:lang w:val="bs-Latn-BA"/>
        </w:rPr>
        <w:t>11</w:t>
      </w:r>
      <w:r w:rsidR="007221F3" w:rsidRPr="006767D8">
        <w:rPr>
          <w:rFonts w:ascii="Times New Roman" w:hAnsi="Times New Roman" w:cs="Times New Roman"/>
          <w:b/>
          <w:lang w:val="bs-Latn-BA"/>
        </w:rPr>
        <w:t>.11.</w:t>
      </w:r>
      <w:r w:rsidR="008F2406" w:rsidRPr="006767D8">
        <w:rPr>
          <w:rFonts w:ascii="Times New Roman" w:hAnsi="Times New Roman" w:cs="Times New Roman"/>
          <w:b/>
          <w:lang w:val="bs-Latn-BA"/>
        </w:rPr>
        <w:t>2021</w:t>
      </w:r>
      <w:r w:rsidR="007221F3" w:rsidRPr="006767D8">
        <w:rPr>
          <w:rFonts w:ascii="Times New Roman" w:hAnsi="Times New Roman" w:cs="Times New Roman"/>
          <w:b/>
          <w:lang w:val="bs-Latn-BA"/>
        </w:rPr>
        <w:t xml:space="preserve">. </w:t>
      </w:r>
      <w:r w:rsidRPr="006767D8">
        <w:rPr>
          <w:rFonts w:ascii="Times New Roman" w:hAnsi="Times New Roman" w:cs="Times New Roman"/>
          <w:b/>
          <w:lang w:val="bs-Latn-BA"/>
        </w:rPr>
        <w:t xml:space="preserve">godine    </w:t>
      </w:r>
      <w:r w:rsidRPr="006767D8">
        <w:rPr>
          <w:rFonts w:ascii="Times New Roman" w:hAnsi="Times New Roman" w:cs="Times New Roman"/>
          <w:b/>
          <w:lang w:val="bs-Latn-BA"/>
        </w:rPr>
        <w:tab/>
      </w:r>
      <w:r w:rsidRPr="006767D8">
        <w:rPr>
          <w:rFonts w:ascii="Times New Roman" w:hAnsi="Times New Roman" w:cs="Times New Roman"/>
          <w:b/>
          <w:lang w:val="bs-Latn-BA"/>
        </w:rPr>
        <w:tab/>
      </w:r>
      <w:r w:rsidRPr="006767D8">
        <w:rPr>
          <w:rFonts w:ascii="Times New Roman" w:hAnsi="Times New Roman" w:cs="Times New Roman"/>
          <w:b/>
          <w:lang w:val="bs-Latn-BA"/>
        </w:rPr>
        <w:tab/>
      </w:r>
      <w:r w:rsidRPr="006767D8">
        <w:rPr>
          <w:rFonts w:ascii="Times New Roman" w:hAnsi="Times New Roman" w:cs="Times New Roman"/>
          <w:b/>
          <w:lang w:val="bs-Latn-BA"/>
        </w:rPr>
        <w:tab/>
      </w:r>
      <w:r w:rsidR="006D3E0D" w:rsidRPr="006767D8">
        <w:rPr>
          <w:rFonts w:ascii="Times New Roman" w:hAnsi="Times New Roman" w:cs="Times New Roman"/>
          <w:b/>
          <w:lang w:val="bs-Latn-BA"/>
        </w:rPr>
        <w:t xml:space="preserve">      </w:t>
      </w:r>
      <w:r w:rsidR="005031C6" w:rsidRPr="006767D8">
        <w:rPr>
          <w:rFonts w:ascii="Times New Roman" w:hAnsi="Times New Roman" w:cs="Times New Roman"/>
          <w:b/>
          <w:lang w:val="bs-Latn-BA"/>
        </w:rPr>
        <w:t xml:space="preserve">              </w:t>
      </w:r>
      <w:r w:rsidR="006D3E0D" w:rsidRPr="006767D8">
        <w:rPr>
          <w:rFonts w:ascii="Times New Roman" w:hAnsi="Times New Roman" w:cs="Times New Roman"/>
          <w:b/>
          <w:lang w:val="bs-Latn-BA"/>
        </w:rPr>
        <w:t xml:space="preserve">  </w:t>
      </w:r>
      <w:r w:rsidR="00851C84" w:rsidRPr="006767D8">
        <w:rPr>
          <w:rFonts w:ascii="Times New Roman" w:hAnsi="Times New Roman" w:cs="Times New Roman"/>
          <w:b/>
          <w:lang w:val="bs-Latn-BA"/>
        </w:rPr>
        <w:t xml:space="preserve">      </w:t>
      </w:r>
      <w:r w:rsidR="008F2406" w:rsidRPr="006767D8">
        <w:rPr>
          <w:rFonts w:ascii="Times New Roman" w:hAnsi="Times New Roman" w:cs="Times New Roman"/>
          <w:b/>
          <w:bCs/>
          <w:lang w:val="bs-Latn-BA"/>
        </w:rPr>
        <w:t xml:space="preserve">PREDSJEDNICA </w:t>
      </w:r>
      <w:proofErr w:type="spellStart"/>
      <w:r w:rsidRPr="006767D8">
        <w:rPr>
          <w:rFonts w:ascii="Times New Roman" w:hAnsi="Times New Roman" w:cs="Times New Roman"/>
          <w:b/>
          <w:bCs/>
          <w:lang w:val="bs-Latn-BA"/>
        </w:rPr>
        <w:t>FERK-a</w:t>
      </w:r>
      <w:proofErr w:type="spellEnd"/>
      <w:r w:rsidRPr="006767D8">
        <w:rPr>
          <w:rFonts w:ascii="Times New Roman" w:hAnsi="Times New Roman" w:cs="Times New Roman"/>
          <w:b/>
          <w:lang w:val="bs-Latn-BA"/>
        </w:rPr>
        <w:t xml:space="preserve">                                                                                     </w:t>
      </w:r>
      <w:r w:rsidRPr="006767D8">
        <w:rPr>
          <w:rFonts w:ascii="Times New Roman" w:hAnsi="Times New Roman" w:cs="Times New Roman"/>
          <w:b/>
          <w:bCs/>
          <w:lang w:val="bs-Latn-BA"/>
        </w:rPr>
        <w:t xml:space="preserve">Broj: </w:t>
      </w:r>
      <w:r w:rsidR="00922826" w:rsidRPr="006767D8">
        <w:rPr>
          <w:rFonts w:ascii="Times New Roman" w:hAnsi="Times New Roman" w:cs="Times New Roman"/>
          <w:b/>
          <w:bCs/>
          <w:lang w:val="bs-Latn-BA"/>
        </w:rPr>
        <w:t>08-11-</w:t>
      </w:r>
      <w:r w:rsidR="006767D8">
        <w:rPr>
          <w:rFonts w:ascii="Times New Roman" w:hAnsi="Times New Roman" w:cs="Times New Roman"/>
          <w:b/>
          <w:bCs/>
          <w:lang w:val="bs-Latn-BA"/>
        </w:rPr>
        <w:t>1158-1/21</w:t>
      </w:r>
      <w:r w:rsidR="008F2406" w:rsidRPr="00786576">
        <w:rPr>
          <w:rFonts w:ascii="Times New Roman" w:hAnsi="Times New Roman" w:cs="Times New Roman"/>
          <w:b/>
          <w:bCs/>
          <w:lang w:val="bs-Latn-BA"/>
        </w:rPr>
        <w:t xml:space="preserve">   </w:t>
      </w:r>
      <w:r w:rsidRPr="00786576">
        <w:rPr>
          <w:rFonts w:ascii="Times New Roman" w:hAnsi="Times New Roman" w:cs="Times New Roman"/>
          <w:b/>
          <w:bCs/>
          <w:lang w:val="bs-Latn-BA"/>
        </w:rPr>
        <w:t xml:space="preserve">                                                                     </w:t>
      </w:r>
      <w:r w:rsidR="00635398" w:rsidRPr="00786576">
        <w:rPr>
          <w:rFonts w:ascii="Times New Roman" w:hAnsi="Times New Roman" w:cs="Times New Roman"/>
          <w:b/>
          <w:bCs/>
          <w:lang w:val="bs-Latn-BA"/>
        </w:rPr>
        <w:t xml:space="preserve">                 </w:t>
      </w:r>
      <w:bookmarkStart w:id="22" w:name="_GoBack"/>
      <w:bookmarkEnd w:id="22"/>
      <w:r w:rsidR="008F2406" w:rsidRPr="00786576">
        <w:rPr>
          <w:rFonts w:ascii="Times New Roman" w:hAnsi="Times New Roman" w:cs="Times New Roman"/>
          <w:b/>
          <w:bCs/>
          <w:lang w:val="bs-Latn-BA"/>
        </w:rPr>
        <w:t>Sanela Pokrajčić</w:t>
      </w:r>
      <w:r w:rsidR="006767D8">
        <w:rPr>
          <w:rFonts w:ascii="Times New Roman" w:hAnsi="Times New Roman" w:cs="Times New Roman"/>
          <w:b/>
          <w:bCs/>
          <w:lang w:val="bs-Latn-BA"/>
        </w:rPr>
        <w:t xml:space="preserve">, </w:t>
      </w:r>
      <w:proofErr w:type="spellStart"/>
      <w:r w:rsidR="006767D8">
        <w:rPr>
          <w:rFonts w:ascii="Times New Roman" w:hAnsi="Times New Roman" w:cs="Times New Roman"/>
          <w:b/>
          <w:bCs/>
          <w:lang w:val="bs-Latn-BA"/>
        </w:rPr>
        <w:t>s.r</w:t>
      </w:r>
      <w:proofErr w:type="spellEnd"/>
    </w:p>
    <w:sectPr w:rsidR="00DC4887" w:rsidRPr="00786576" w:rsidSect="009128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50" w:right="1195" w:bottom="1440" w:left="1267" w:header="426" w:footer="7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14E5" w14:textId="77777777" w:rsidR="00CB428F" w:rsidRDefault="00CB428F" w:rsidP="00F04666">
      <w:r>
        <w:separator/>
      </w:r>
    </w:p>
  </w:endnote>
  <w:endnote w:type="continuationSeparator" w:id="0">
    <w:p w14:paraId="64F8387B" w14:textId="77777777" w:rsidR="00CB428F" w:rsidRDefault="00CB428F" w:rsidP="00F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A162" w14:textId="77777777" w:rsidR="00110F64" w:rsidRDefault="00110F6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44"/>
    </w:tblGrid>
    <w:tr w:rsidR="00110F64" w14:paraId="75F7E9EB" w14:textId="77777777" w:rsidTr="00EF2A12">
      <w:trPr>
        <w:trHeight w:val="361"/>
      </w:trPr>
      <w:tc>
        <w:tcPr>
          <w:tcW w:w="9444" w:type="dxa"/>
          <w:tcMar>
            <w:left w:w="0" w:type="dxa"/>
            <w:right w:w="0" w:type="dxa"/>
          </w:tcMar>
        </w:tcPr>
        <w:p w14:paraId="014091F0" w14:textId="5DFE18F7" w:rsidR="00110F64" w:rsidRDefault="00110F64" w:rsidP="00731CA9">
          <w:pPr>
            <w:spacing w:line="180" w:lineRule="exact"/>
            <w:contextualSpacing/>
            <w:rPr>
              <w:rFonts w:ascii="Times New Roman" w:hAnsi="Times New Roman" w:cs="Times New Roman"/>
              <w:i/>
              <w:iCs/>
              <w:color w:val="323E4F" w:themeColor="text2" w:themeShade="BF"/>
              <w:sz w:val="18"/>
              <w:szCs w:val="18"/>
            </w:rPr>
          </w:pPr>
        </w:p>
        <w:p w14:paraId="19874893" w14:textId="2B1CF03D" w:rsidR="00110F64" w:rsidRPr="00E4358F" w:rsidRDefault="00110F64" w:rsidP="00731CA9">
          <w:pPr>
            <w:spacing w:line="180" w:lineRule="exact"/>
            <w:contextualSpacing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14:paraId="4B93CAB9" w14:textId="7CC633E2" w:rsidR="00110F64" w:rsidRPr="00534B96" w:rsidRDefault="00110F64" w:rsidP="00D67803">
    <w:pPr>
      <w:tabs>
        <w:tab w:val="center" w:pos="4722"/>
      </w:tabs>
      <w:rPr>
        <w:rFonts w:ascii="Times New Roman" w:hAnsi="Times New Roman" w:cs="Times New Roman"/>
        <w:sz w:val="16"/>
        <w:szCs w:val="16"/>
      </w:rPr>
    </w:pPr>
    <w:r w:rsidRPr="00EF2A12">
      <w:rPr>
        <w:rFonts w:ascii="Times New Roman" w:hAnsi="Times New Roman" w:cs="Times New Roman"/>
        <w:noProof/>
        <w:sz w:val="12"/>
        <w:szCs w:val="12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63AF4CA7" wp14:editId="07D844D8">
          <wp:simplePos x="0" y="0"/>
          <wp:positionH relativeFrom="margin">
            <wp:align>left</wp:align>
          </wp:positionH>
          <wp:positionV relativeFrom="page">
            <wp:posOffset>9961308</wp:posOffset>
          </wp:positionV>
          <wp:extent cx="5979795" cy="100330"/>
          <wp:effectExtent l="0" t="0" r="190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ab/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fldChar w:fldCharType="begin"/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instrText xml:space="preserve"> PAGE   \* MERGEFORMAT </w:instrText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fldChar w:fldCharType="separate"/>
    </w:r>
    <w:r w:rsidR="00766B42">
      <w:rPr>
        <w:rFonts w:ascii="Times New Roman" w:hAnsi="Times New Roman" w:cs="Times New Roman"/>
        <w:i/>
        <w:iCs/>
        <w:noProof/>
        <w:color w:val="323E4F" w:themeColor="text2" w:themeShade="BF"/>
        <w:sz w:val="18"/>
        <w:szCs w:val="18"/>
      </w:rPr>
      <w:t>11</w:t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fldChar w:fldCharType="end"/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t xml:space="preserve"> / </w:t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fldChar w:fldCharType="begin"/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instrText xml:space="preserve"> NUMPAGES  \* Arabic  \* MERGEFORMAT </w:instrText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fldChar w:fldCharType="separate"/>
    </w:r>
    <w:r w:rsidR="00766B42">
      <w:rPr>
        <w:rFonts w:ascii="Times New Roman" w:hAnsi="Times New Roman" w:cs="Times New Roman"/>
        <w:i/>
        <w:iCs/>
        <w:noProof/>
        <w:color w:val="323E4F" w:themeColor="text2" w:themeShade="BF"/>
        <w:sz w:val="18"/>
        <w:szCs w:val="18"/>
      </w:rPr>
      <w:t>11</w:t>
    </w:r>
    <w:r w:rsidRPr="00E4358F">
      <w:rPr>
        <w:rFonts w:ascii="Times New Roman" w:hAnsi="Times New Roman" w:cs="Times New Roman"/>
        <w:i/>
        <w:iCs/>
        <w:color w:val="323E4F" w:themeColor="text2" w:themeShade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202F" w14:textId="702F539C" w:rsidR="00110F64" w:rsidRPr="00302213" w:rsidRDefault="00110F64" w:rsidP="00196A5A">
    <w:pPr>
      <w:pStyle w:val="Footer"/>
      <w:pBdr>
        <w:top w:val="single" w:sz="4" w:space="1" w:color="auto"/>
      </w:pBdr>
      <w:spacing w:after="0" w:line="216" w:lineRule="auto"/>
      <w:ind w:right="360"/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302213">
      <w:rPr>
        <w:rFonts w:ascii="Times New Roman" w:hAnsi="Times New Roman" w:cs="Times New Roman"/>
        <w:sz w:val="16"/>
        <w:szCs w:val="16"/>
      </w:rPr>
      <w:t>Regulatorna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02213">
      <w:rPr>
        <w:rFonts w:ascii="Times New Roman" w:hAnsi="Times New Roman" w:cs="Times New Roman"/>
        <w:sz w:val="16"/>
        <w:szCs w:val="16"/>
      </w:rPr>
      <w:t>komisija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02213">
      <w:rPr>
        <w:rFonts w:ascii="Times New Roman" w:hAnsi="Times New Roman" w:cs="Times New Roman"/>
        <w:sz w:val="16"/>
        <w:szCs w:val="16"/>
      </w:rPr>
      <w:t>za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02213">
      <w:rPr>
        <w:rFonts w:ascii="Times New Roman" w:hAnsi="Times New Roman" w:cs="Times New Roman"/>
        <w:sz w:val="16"/>
        <w:szCs w:val="16"/>
      </w:rPr>
      <w:t>energiju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u </w:t>
    </w:r>
    <w:proofErr w:type="spellStart"/>
    <w:r w:rsidRPr="00302213">
      <w:rPr>
        <w:rFonts w:ascii="Times New Roman" w:hAnsi="Times New Roman" w:cs="Times New Roman"/>
        <w:sz w:val="16"/>
        <w:szCs w:val="16"/>
      </w:rPr>
      <w:t>Federaciji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02213">
      <w:rPr>
        <w:rFonts w:ascii="Times New Roman" w:hAnsi="Times New Roman" w:cs="Times New Roman"/>
        <w:sz w:val="16"/>
        <w:szCs w:val="16"/>
      </w:rPr>
      <w:t>Bosne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i </w:t>
    </w:r>
    <w:proofErr w:type="spellStart"/>
    <w:r w:rsidRPr="00302213">
      <w:rPr>
        <w:rFonts w:ascii="Times New Roman" w:hAnsi="Times New Roman" w:cs="Times New Roman"/>
        <w:sz w:val="16"/>
        <w:szCs w:val="16"/>
      </w:rPr>
      <w:t>Hercegovine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– FERK – </w:t>
    </w:r>
    <w:proofErr w:type="spellStart"/>
    <w:r w:rsidRPr="00302213">
      <w:rPr>
        <w:rFonts w:ascii="Times New Roman" w:hAnsi="Times New Roman" w:cs="Times New Roman"/>
        <w:sz w:val="16"/>
        <w:szCs w:val="16"/>
      </w:rPr>
      <w:t>Kneza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02213">
      <w:rPr>
        <w:rFonts w:ascii="Times New Roman" w:hAnsi="Times New Roman" w:cs="Times New Roman"/>
        <w:sz w:val="16"/>
        <w:szCs w:val="16"/>
      </w:rPr>
      <w:t>Domagoja</w:t>
    </w:r>
    <w:proofErr w:type="spellEnd"/>
    <w:r w:rsidRPr="00302213">
      <w:rPr>
        <w:rFonts w:ascii="Times New Roman" w:hAnsi="Times New Roman" w:cs="Times New Roman"/>
        <w:sz w:val="16"/>
        <w:szCs w:val="16"/>
      </w:rPr>
      <w:t xml:space="preserve"> 12 A, 88000 Mostar</w:t>
    </w:r>
  </w:p>
  <w:p w14:paraId="460CB787" w14:textId="37AA0B77" w:rsidR="00110F64" w:rsidRPr="009529D4" w:rsidRDefault="00110F64" w:rsidP="009529D4">
    <w:pPr>
      <w:pStyle w:val="Footer"/>
      <w:spacing w:line="216" w:lineRule="auto"/>
      <w:jc w:val="center"/>
      <w:rPr>
        <w:sz w:val="16"/>
        <w:szCs w:val="16"/>
        <w:lang w:val="bs-Latn-BA"/>
      </w:rPr>
    </w:pPr>
    <w:r w:rsidRPr="00302213">
      <w:rPr>
        <w:rFonts w:ascii="Times New Roman" w:hAnsi="Times New Roman" w:cs="Times New Roman"/>
        <w:sz w:val="16"/>
        <w:szCs w:val="16"/>
      </w:rPr>
      <w:t>T: +387 36 44 99 00</w:t>
    </w:r>
    <w:proofErr w:type="gramStart"/>
    <w:r w:rsidRPr="00302213">
      <w:rPr>
        <w:rFonts w:ascii="Times New Roman" w:hAnsi="Times New Roman" w:cs="Times New Roman"/>
        <w:sz w:val="16"/>
        <w:szCs w:val="16"/>
      </w:rPr>
      <w:t>;  F</w:t>
    </w:r>
    <w:proofErr w:type="gramEnd"/>
    <w:r w:rsidRPr="00302213">
      <w:rPr>
        <w:rFonts w:ascii="Times New Roman" w:hAnsi="Times New Roman" w:cs="Times New Roman"/>
        <w:sz w:val="16"/>
        <w:szCs w:val="16"/>
      </w:rPr>
      <w:t xml:space="preserve">: +387 36  33 35 07 /   </w:t>
    </w:r>
    <w:hyperlink r:id="rId1" w:history="1">
      <w:r w:rsidRPr="00302213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kontakt@ferk.ba</w:t>
      </w:r>
    </w:hyperlink>
    <w:r w:rsidRPr="00302213">
      <w:rPr>
        <w:rFonts w:ascii="Times New Roman" w:hAnsi="Times New Roman" w:cs="Times New Roman"/>
        <w:sz w:val="16"/>
        <w:szCs w:val="16"/>
      </w:rPr>
      <w:t xml:space="preserve">   </w:t>
    </w:r>
    <w:hyperlink r:id="rId2" w:history="1">
      <w:r w:rsidRPr="00302213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www.ferk.ba</w:t>
      </w:r>
    </w:hyperlink>
    <w:r w:rsidRPr="00302213">
      <w:rPr>
        <w:rStyle w:val="Hyperlink"/>
        <w:rFonts w:ascii="Times New Roman" w:hAnsi="Times New Roman" w:cs="Times New Roman"/>
        <w:color w:val="auto"/>
        <w:sz w:val="16"/>
        <w:szCs w:val="16"/>
        <w:u w:val="none"/>
      </w:rPr>
      <w:t xml:space="preserve">  / ID: 4227378050005; TR: </w:t>
    </w:r>
    <w:r w:rsidRPr="00882B75">
      <w:rPr>
        <w:sz w:val="16"/>
        <w:szCs w:val="16"/>
        <w:lang w:val="bs-Latn-BA"/>
      </w:rPr>
      <w:t>1862010310549740</w:t>
    </w:r>
  </w:p>
  <w:sdt>
    <w:sdtPr>
      <w:rPr>
        <w:rFonts w:ascii="Times New Roman" w:hAnsi="Times New Roman" w:cs="Times New Roman"/>
        <w:sz w:val="18"/>
        <w:szCs w:val="18"/>
      </w:rPr>
      <w:id w:val="-1104258499"/>
      <w:docPartObj>
        <w:docPartGallery w:val="Page Numbers (Bottom of Page)"/>
        <w:docPartUnique/>
      </w:docPartObj>
    </w:sdtPr>
    <w:sdtEndPr>
      <w:rPr>
        <w:noProof/>
        <w:color w:val="323E4F" w:themeColor="text2" w:themeShade="BF"/>
        <w:lang w:val="en-US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noProof/>
            <w:color w:val="323E4F" w:themeColor="text2" w:themeShade="BF"/>
            <w:lang w:val="en-US"/>
          </w:rPr>
        </w:sdtEndPr>
        <w:sdtContent>
          <w:p w14:paraId="41945DFC" w14:textId="11434BBA" w:rsidR="00110F64" w:rsidRPr="00302213" w:rsidRDefault="00110F64" w:rsidP="00097205">
            <w:pPr>
              <w:pStyle w:val="Footer"/>
              <w:jc w:val="center"/>
              <w:rPr>
                <w:rFonts w:ascii="Times New Roman" w:hAnsi="Times New Roman" w:cs="Times New Roman"/>
                <w:noProof/>
                <w:color w:val="323E4F" w:themeColor="text2" w:themeShade="BF"/>
                <w:sz w:val="18"/>
                <w:szCs w:val="18"/>
                <w:lang w:val="en-US"/>
              </w:rPr>
            </w:pPr>
            <w:r w:rsidRPr="003022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fldChar w:fldCharType="begin"/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instrText xml:space="preserve"> PAGE </w:instrText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fldChar w:fldCharType="separate"/>
            </w:r>
            <w:r w:rsidR="006767D8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t>1</w:t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fldChar w:fldCharType="end"/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t xml:space="preserve"> / </w:t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fldChar w:fldCharType="begin"/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instrText xml:space="preserve"> NUMPAGES  </w:instrText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fldChar w:fldCharType="separate"/>
            </w:r>
            <w:r w:rsidR="006767D8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t>11</w:t>
            </w:r>
            <w:r w:rsidRPr="00302213">
              <w:rPr>
                <w:rFonts w:ascii="Times New Roman" w:hAnsi="Times New Roman" w:cs="Times New Roman"/>
                <w:i/>
                <w:iCs/>
                <w:noProof/>
                <w:color w:val="323E4F" w:themeColor="text2" w:themeShade="BF"/>
                <w:sz w:val="18"/>
                <w:szCs w:val="18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E8CC" w14:textId="77777777" w:rsidR="00CB428F" w:rsidRDefault="00CB428F" w:rsidP="00F04666">
      <w:r>
        <w:separator/>
      </w:r>
    </w:p>
  </w:footnote>
  <w:footnote w:type="continuationSeparator" w:id="0">
    <w:p w14:paraId="10CDAEB9" w14:textId="77777777" w:rsidR="00CB428F" w:rsidRDefault="00CB428F" w:rsidP="00F0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8"/>
      <w:gridCol w:w="640"/>
      <w:gridCol w:w="4456"/>
    </w:tblGrid>
    <w:tr w:rsidR="00110F64" w:rsidRPr="00B374DA" w14:paraId="39F5F0BD" w14:textId="77777777" w:rsidTr="00F56646">
      <w:trPr>
        <w:jc w:val="center"/>
      </w:trPr>
      <w:tc>
        <w:tcPr>
          <w:tcW w:w="2302" w:type="pct"/>
          <w:vAlign w:val="center"/>
        </w:tcPr>
        <w:p w14:paraId="55893626" w14:textId="336520CA" w:rsidR="00110F64" w:rsidRPr="00623916" w:rsidRDefault="00CB428F" w:rsidP="00E969A8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 w14:anchorId="338D480F">
              <v:rect id="_x0000_i1025" style="width:0;height:1.5pt" o:hralign="center" o:hrstd="t" o:hr="t" fillcolor="#a0a0a0" stroked="f"/>
            </w:pict>
          </w:r>
        </w:p>
      </w:tc>
      <w:tc>
        <w:tcPr>
          <w:tcW w:w="339" w:type="pct"/>
          <w:vAlign w:val="center"/>
        </w:tcPr>
        <w:p w14:paraId="0BEF3E7A" w14:textId="4CD3C0A4" w:rsidR="00110F64" w:rsidRPr="00623916" w:rsidRDefault="00110F64" w:rsidP="00847F8E">
          <w:pPr>
            <w:pStyle w:val="Header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  <w:lang w:val="bs-Latn-BA" w:eastAsia="bs-Latn-BA"/>
            </w:rPr>
            <w:drawing>
              <wp:inline distT="0" distB="0" distL="0" distR="0" wp14:anchorId="7292247F" wp14:editId="6671815B">
                <wp:extent cx="356198" cy="206220"/>
                <wp:effectExtent l="0" t="0" r="6350" b="381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198" cy="2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Align w:val="center"/>
        </w:tcPr>
        <w:p w14:paraId="1D755977" w14:textId="1DEE7B00" w:rsidR="00110F64" w:rsidRPr="00623916" w:rsidRDefault="00CB428F" w:rsidP="00E969A8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 w14:anchorId="7607A269">
              <v:rect id="_x0000_i1026" style="width:0;height:1.5pt" o:hralign="center" o:hrstd="t" o:hr="t" fillcolor="#a0a0a0" stroked="f"/>
            </w:pict>
          </w:r>
        </w:p>
      </w:tc>
    </w:tr>
  </w:tbl>
  <w:p w14:paraId="2B215994" w14:textId="77777777" w:rsidR="00110F64" w:rsidRPr="0096555D" w:rsidRDefault="00110F64" w:rsidP="00CE66D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E7F4" w14:textId="76308998" w:rsidR="00110F64" w:rsidRPr="00F56646" w:rsidRDefault="00110F64" w:rsidP="00F56646">
    <w:pPr>
      <w:pStyle w:val="Header"/>
    </w:pPr>
    <w:r>
      <w:rPr>
        <w:noProof/>
        <w:lang w:val="bs-Latn-BA" w:eastAsia="bs-Latn-BA"/>
      </w:rPr>
      <w:drawing>
        <wp:inline distT="0" distB="0" distL="0" distR="0" wp14:anchorId="111D20F7" wp14:editId="18E46956">
          <wp:extent cx="5985318" cy="1100958"/>
          <wp:effectExtent l="0" t="0" r="0" b="444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5318" cy="110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6A6"/>
    <w:multiLevelType w:val="hybridMultilevel"/>
    <w:tmpl w:val="C7C69C0A"/>
    <w:lvl w:ilvl="0" w:tplc="29D2B5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1E3"/>
    <w:multiLevelType w:val="hybridMultilevel"/>
    <w:tmpl w:val="CB5C2DE2"/>
    <w:lvl w:ilvl="0" w:tplc="312A7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CCF"/>
    <w:multiLevelType w:val="hybridMultilevel"/>
    <w:tmpl w:val="5520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89C"/>
    <w:multiLevelType w:val="hybridMultilevel"/>
    <w:tmpl w:val="DAB87F4C"/>
    <w:lvl w:ilvl="0" w:tplc="19E0F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310C"/>
    <w:multiLevelType w:val="hybridMultilevel"/>
    <w:tmpl w:val="C7A0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1501"/>
    <w:multiLevelType w:val="hybridMultilevel"/>
    <w:tmpl w:val="91504C00"/>
    <w:lvl w:ilvl="0" w:tplc="43CC3F2A">
      <w:numFmt w:val="bullet"/>
      <w:lvlText w:val="-"/>
      <w:lvlJc w:val="left"/>
      <w:pPr>
        <w:ind w:left="2596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6" w15:restartNumberingAfterBreak="0">
    <w:nsid w:val="14FD6BCE"/>
    <w:multiLevelType w:val="hybridMultilevel"/>
    <w:tmpl w:val="86D87ED2"/>
    <w:lvl w:ilvl="0" w:tplc="38C67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22D7"/>
    <w:multiLevelType w:val="hybridMultilevel"/>
    <w:tmpl w:val="E72646D0"/>
    <w:lvl w:ilvl="0" w:tplc="FAD2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4F99"/>
    <w:multiLevelType w:val="multilevel"/>
    <w:tmpl w:val="BC9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765C6"/>
    <w:multiLevelType w:val="hybridMultilevel"/>
    <w:tmpl w:val="4D2AD1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E5A"/>
    <w:multiLevelType w:val="hybridMultilevel"/>
    <w:tmpl w:val="9FD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48B"/>
    <w:multiLevelType w:val="multilevel"/>
    <w:tmpl w:val="C5FC0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 w15:restartNumberingAfterBreak="0">
    <w:nsid w:val="3BEE61C3"/>
    <w:multiLevelType w:val="hybridMultilevel"/>
    <w:tmpl w:val="943E90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5F0C3B"/>
    <w:multiLevelType w:val="hybridMultilevel"/>
    <w:tmpl w:val="A0CE938C"/>
    <w:lvl w:ilvl="0" w:tplc="7472CC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F492B"/>
    <w:multiLevelType w:val="multilevel"/>
    <w:tmpl w:val="8AA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874C4"/>
    <w:multiLevelType w:val="hybridMultilevel"/>
    <w:tmpl w:val="B68216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022F0"/>
    <w:multiLevelType w:val="hybridMultilevel"/>
    <w:tmpl w:val="F9BAF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E2E6E"/>
    <w:multiLevelType w:val="hybridMultilevel"/>
    <w:tmpl w:val="BB845032"/>
    <w:lvl w:ilvl="0" w:tplc="CDF6E3B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61D5D36"/>
    <w:multiLevelType w:val="hybridMultilevel"/>
    <w:tmpl w:val="FDBCD354"/>
    <w:lvl w:ilvl="0" w:tplc="5E44D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F1"/>
    <w:multiLevelType w:val="multilevel"/>
    <w:tmpl w:val="775C8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0E273D"/>
    <w:multiLevelType w:val="multilevel"/>
    <w:tmpl w:val="F26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B42B82"/>
    <w:multiLevelType w:val="hybridMultilevel"/>
    <w:tmpl w:val="B392876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4A05"/>
    <w:multiLevelType w:val="hybridMultilevel"/>
    <w:tmpl w:val="AD785922"/>
    <w:lvl w:ilvl="0" w:tplc="4CB42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B5DAE"/>
    <w:multiLevelType w:val="hybridMultilevel"/>
    <w:tmpl w:val="9E9A0E04"/>
    <w:lvl w:ilvl="0" w:tplc="65A28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D2949"/>
    <w:multiLevelType w:val="hybridMultilevel"/>
    <w:tmpl w:val="32D6A0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4B1954"/>
    <w:multiLevelType w:val="hybridMultilevel"/>
    <w:tmpl w:val="B91ACA62"/>
    <w:lvl w:ilvl="0" w:tplc="43CC3F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A43445"/>
    <w:multiLevelType w:val="hybridMultilevel"/>
    <w:tmpl w:val="E32CA116"/>
    <w:lvl w:ilvl="0" w:tplc="43CC3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32BE8"/>
    <w:multiLevelType w:val="hybridMultilevel"/>
    <w:tmpl w:val="99C0F136"/>
    <w:lvl w:ilvl="0" w:tplc="38C67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7E09"/>
    <w:multiLevelType w:val="multilevel"/>
    <w:tmpl w:val="21343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27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5"/>
  </w:num>
  <w:num w:numId="10">
    <w:abstractNumId w:val="24"/>
  </w:num>
  <w:num w:numId="11">
    <w:abstractNumId w:val="25"/>
  </w:num>
  <w:num w:numId="12">
    <w:abstractNumId w:val="10"/>
  </w:num>
  <w:num w:numId="13">
    <w:abstractNumId w:val="26"/>
  </w:num>
  <w:num w:numId="14">
    <w:abstractNumId w:val="16"/>
  </w:num>
  <w:num w:numId="15">
    <w:abstractNumId w:val="15"/>
  </w:num>
  <w:num w:numId="16">
    <w:abstractNumId w:val="2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0"/>
  </w:num>
  <w:num w:numId="22">
    <w:abstractNumId w:val="3"/>
  </w:num>
  <w:num w:numId="23">
    <w:abstractNumId w:val="4"/>
  </w:num>
  <w:num w:numId="24">
    <w:abstractNumId w:val="11"/>
  </w:num>
  <w:num w:numId="25">
    <w:abstractNumId w:val="17"/>
  </w:num>
  <w:num w:numId="26">
    <w:abstractNumId w:val="9"/>
  </w:num>
  <w:num w:numId="27">
    <w:abstractNumId w:val="19"/>
  </w:num>
  <w:num w:numId="28">
    <w:abstractNumId w:val="28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6"/>
    <w:rsid w:val="00000DF9"/>
    <w:rsid w:val="00004827"/>
    <w:rsid w:val="00005EBA"/>
    <w:rsid w:val="00007E41"/>
    <w:rsid w:val="00015B0A"/>
    <w:rsid w:val="00020B71"/>
    <w:rsid w:val="00024612"/>
    <w:rsid w:val="00031E17"/>
    <w:rsid w:val="00036B4B"/>
    <w:rsid w:val="00044150"/>
    <w:rsid w:val="00060811"/>
    <w:rsid w:val="00065DAD"/>
    <w:rsid w:val="00065FDA"/>
    <w:rsid w:val="00067F1B"/>
    <w:rsid w:val="0007023F"/>
    <w:rsid w:val="00071215"/>
    <w:rsid w:val="00075230"/>
    <w:rsid w:val="00080D39"/>
    <w:rsid w:val="00081B89"/>
    <w:rsid w:val="00086271"/>
    <w:rsid w:val="00090B00"/>
    <w:rsid w:val="00097205"/>
    <w:rsid w:val="000A124C"/>
    <w:rsid w:val="000A494F"/>
    <w:rsid w:val="000A6D90"/>
    <w:rsid w:val="000A731C"/>
    <w:rsid w:val="000B34E7"/>
    <w:rsid w:val="000B4CC3"/>
    <w:rsid w:val="000D4063"/>
    <w:rsid w:val="000F1697"/>
    <w:rsid w:val="0010444D"/>
    <w:rsid w:val="00110F64"/>
    <w:rsid w:val="00113B8D"/>
    <w:rsid w:val="001224C8"/>
    <w:rsid w:val="001361F5"/>
    <w:rsid w:val="00144C61"/>
    <w:rsid w:val="00151783"/>
    <w:rsid w:val="0015531B"/>
    <w:rsid w:val="001738DA"/>
    <w:rsid w:val="00173B7A"/>
    <w:rsid w:val="00174B64"/>
    <w:rsid w:val="00180648"/>
    <w:rsid w:val="001910DC"/>
    <w:rsid w:val="001931C6"/>
    <w:rsid w:val="00195E4B"/>
    <w:rsid w:val="00196A5A"/>
    <w:rsid w:val="001A4DB0"/>
    <w:rsid w:val="001A7DEE"/>
    <w:rsid w:val="001C55CA"/>
    <w:rsid w:val="001D00AD"/>
    <w:rsid w:val="001D1A2B"/>
    <w:rsid w:val="001E45EA"/>
    <w:rsid w:val="001E7E3A"/>
    <w:rsid w:val="001F0138"/>
    <w:rsid w:val="001F101F"/>
    <w:rsid w:val="001F215E"/>
    <w:rsid w:val="00204CBC"/>
    <w:rsid w:val="002050C5"/>
    <w:rsid w:val="00215453"/>
    <w:rsid w:val="00217066"/>
    <w:rsid w:val="0022754E"/>
    <w:rsid w:val="00230B83"/>
    <w:rsid w:val="002365C1"/>
    <w:rsid w:val="00237D31"/>
    <w:rsid w:val="002437D7"/>
    <w:rsid w:val="002457A8"/>
    <w:rsid w:val="00247AA4"/>
    <w:rsid w:val="00251490"/>
    <w:rsid w:val="00262162"/>
    <w:rsid w:val="0026298D"/>
    <w:rsid w:val="00266026"/>
    <w:rsid w:val="00270867"/>
    <w:rsid w:val="0027595F"/>
    <w:rsid w:val="002838BC"/>
    <w:rsid w:val="002A5024"/>
    <w:rsid w:val="002A63FA"/>
    <w:rsid w:val="002B076C"/>
    <w:rsid w:val="002B16F7"/>
    <w:rsid w:val="002B24DE"/>
    <w:rsid w:val="002B46E3"/>
    <w:rsid w:val="002B6579"/>
    <w:rsid w:val="002C1A6D"/>
    <w:rsid w:val="002C20FF"/>
    <w:rsid w:val="002C283C"/>
    <w:rsid w:val="002C691F"/>
    <w:rsid w:val="002C7426"/>
    <w:rsid w:val="002D23CF"/>
    <w:rsid w:val="002D5078"/>
    <w:rsid w:val="002D65D9"/>
    <w:rsid w:val="002D683F"/>
    <w:rsid w:val="002D6ACD"/>
    <w:rsid w:val="002E0A40"/>
    <w:rsid w:val="002E0BA0"/>
    <w:rsid w:val="002E7C42"/>
    <w:rsid w:val="002F3DF7"/>
    <w:rsid w:val="00302213"/>
    <w:rsid w:val="00303E2E"/>
    <w:rsid w:val="00314CD9"/>
    <w:rsid w:val="003171E4"/>
    <w:rsid w:val="00317F61"/>
    <w:rsid w:val="00322998"/>
    <w:rsid w:val="0032462D"/>
    <w:rsid w:val="003265DD"/>
    <w:rsid w:val="003375F4"/>
    <w:rsid w:val="00341172"/>
    <w:rsid w:val="00343790"/>
    <w:rsid w:val="00344285"/>
    <w:rsid w:val="0035559A"/>
    <w:rsid w:val="0036569B"/>
    <w:rsid w:val="00367B9C"/>
    <w:rsid w:val="00374009"/>
    <w:rsid w:val="00392ED9"/>
    <w:rsid w:val="00393013"/>
    <w:rsid w:val="003A3CE3"/>
    <w:rsid w:val="003A468A"/>
    <w:rsid w:val="003A5507"/>
    <w:rsid w:val="003A6203"/>
    <w:rsid w:val="003A7CD1"/>
    <w:rsid w:val="003B0FE9"/>
    <w:rsid w:val="003B59E1"/>
    <w:rsid w:val="003B67DB"/>
    <w:rsid w:val="003B68FF"/>
    <w:rsid w:val="003C500B"/>
    <w:rsid w:val="003C6C04"/>
    <w:rsid w:val="003D1A2F"/>
    <w:rsid w:val="003D253A"/>
    <w:rsid w:val="003D7179"/>
    <w:rsid w:val="003E2181"/>
    <w:rsid w:val="003E24B2"/>
    <w:rsid w:val="003F0476"/>
    <w:rsid w:val="003F2EBB"/>
    <w:rsid w:val="003F5AF4"/>
    <w:rsid w:val="003F5D3F"/>
    <w:rsid w:val="0040133B"/>
    <w:rsid w:val="00403B2F"/>
    <w:rsid w:val="00404E93"/>
    <w:rsid w:val="004063E4"/>
    <w:rsid w:val="0041182E"/>
    <w:rsid w:val="004145CA"/>
    <w:rsid w:val="00417C38"/>
    <w:rsid w:val="00417CBB"/>
    <w:rsid w:val="00422CC6"/>
    <w:rsid w:val="00432045"/>
    <w:rsid w:val="00433030"/>
    <w:rsid w:val="00445584"/>
    <w:rsid w:val="004505D8"/>
    <w:rsid w:val="00452973"/>
    <w:rsid w:val="00453F9F"/>
    <w:rsid w:val="00455183"/>
    <w:rsid w:val="00460299"/>
    <w:rsid w:val="00460EE0"/>
    <w:rsid w:val="004613C3"/>
    <w:rsid w:val="00467675"/>
    <w:rsid w:val="00472D4F"/>
    <w:rsid w:val="00473775"/>
    <w:rsid w:val="0047421E"/>
    <w:rsid w:val="00474266"/>
    <w:rsid w:val="00476D2F"/>
    <w:rsid w:val="00477914"/>
    <w:rsid w:val="004810FB"/>
    <w:rsid w:val="004812F2"/>
    <w:rsid w:val="004816ED"/>
    <w:rsid w:val="004825F9"/>
    <w:rsid w:val="00482DDB"/>
    <w:rsid w:val="00486F21"/>
    <w:rsid w:val="00487AC1"/>
    <w:rsid w:val="00494DEB"/>
    <w:rsid w:val="004C6B54"/>
    <w:rsid w:val="004D6C4D"/>
    <w:rsid w:val="004E6B46"/>
    <w:rsid w:val="004F1275"/>
    <w:rsid w:val="005031C6"/>
    <w:rsid w:val="00503B4B"/>
    <w:rsid w:val="00504E61"/>
    <w:rsid w:val="005055EB"/>
    <w:rsid w:val="005215F4"/>
    <w:rsid w:val="00527FEB"/>
    <w:rsid w:val="005302DE"/>
    <w:rsid w:val="0053106E"/>
    <w:rsid w:val="00534B96"/>
    <w:rsid w:val="00536CBD"/>
    <w:rsid w:val="00555B74"/>
    <w:rsid w:val="005567C7"/>
    <w:rsid w:val="00564647"/>
    <w:rsid w:val="005700F3"/>
    <w:rsid w:val="0057151D"/>
    <w:rsid w:val="00572A24"/>
    <w:rsid w:val="005A0D16"/>
    <w:rsid w:val="005A21BD"/>
    <w:rsid w:val="005A34CE"/>
    <w:rsid w:val="005A6F23"/>
    <w:rsid w:val="005B3E3A"/>
    <w:rsid w:val="005B55A1"/>
    <w:rsid w:val="005C1618"/>
    <w:rsid w:val="005D11F0"/>
    <w:rsid w:val="005D643B"/>
    <w:rsid w:val="005E45B7"/>
    <w:rsid w:val="005E5AB4"/>
    <w:rsid w:val="005E7AF6"/>
    <w:rsid w:val="005F6763"/>
    <w:rsid w:val="0061068D"/>
    <w:rsid w:val="006113CC"/>
    <w:rsid w:val="006216A4"/>
    <w:rsid w:val="00623916"/>
    <w:rsid w:val="0063023E"/>
    <w:rsid w:val="006317CD"/>
    <w:rsid w:val="006317E7"/>
    <w:rsid w:val="006320FC"/>
    <w:rsid w:val="00635398"/>
    <w:rsid w:val="00641410"/>
    <w:rsid w:val="00641D79"/>
    <w:rsid w:val="006428B2"/>
    <w:rsid w:val="00647263"/>
    <w:rsid w:val="006512E6"/>
    <w:rsid w:val="00654AFD"/>
    <w:rsid w:val="00666E1F"/>
    <w:rsid w:val="00670DF4"/>
    <w:rsid w:val="00671D64"/>
    <w:rsid w:val="006746FC"/>
    <w:rsid w:val="006753BD"/>
    <w:rsid w:val="006767D8"/>
    <w:rsid w:val="006812B9"/>
    <w:rsid w:val="0068697D"/>
    <w:rsid w:val="006A208D"/>
    <w:rsid w:val="006A311F"/>
    <w:rsid w:val="006B7684"/>
    <w:rsid w:val="006B7B8F"/>
    <w:rsid w:val="006D2E32"/>
    <w:rsid w:val="006D3E0D"/>
    <w:rsid w:val="006D4532"/>
    <w:rsid w:val="006E2A9F"/>
    <w:rsid w:val="006E70C1"/>
    <w:rsid w:val="006F1BC1"/>
    <w:rsid w:val="006F4BE9"/>
    <w:rsid w:val="006F728F"/>
    <w:rsid w:val="007056EF"/>
    <w:rsid w:val="00707C3F"/>
    <w:rsid w:val="00715BBD"/>
    <w:rsid w:val="0072017C"/>
    <w:rsid w:val="007221F3"/>
    <w:rsid w:val="00731CA9"/>
    <w:rsid w:val="0073341C"/>
    <w:rsid w:val="00734F3E"/>
    <w:rsid w:val="00752969"/>
    <w:rsid w:val="00754B00"/>
    <w:rsid w:val="00756719"/>
    <w:rsid w:val="00765714"/>
    <w:rsid w:val="00766B42"/>
    <w:rsid w:val="00767B6B"/>
    <w:rsid w:val="00772CE0"/>
    <w:rsid w:val="00772FA4"/>
    <w:rsid w:val="00773201"/>
    <w:rsid w:val="00774465"/>
    <w:rsid w:val="00777BD7"/>
    <w:rsid w:val="00780D28"/>
    <w:rsid w:val="00781E13"/>
    <w:rsid w:val="00783932"/>
    <w:rsid w:val="00786576"/>
    <w:rsid w:val="0078767B"/>
    <w:rsid w:val="00794513"/>
    <w:rsid w:val="00796696"/>
    <w:rsid w:val="007A7678"/>
    <w:rsid w:val="007E2898"/>
    <w:rsid w:val="007E6E8F"/>
    <w:rsid w:val="007F1AF8"/>
    <w:rsid w:val="007F2DC7"/>
    <w:rsid w:val="007F48D3"/>
    <w:rsid w:val="007F6B81"/>
    <w:rsid w:val="0080152F"/>
    <w:rsid w:val="008153ED"/>
    <w:rsid w:val="00817DA3"/>
    <w:rsid w:val="00820B85"/>
    <w:rsid w:val="00827DCC"/>
    <w:rsid w:val="00847F8E"/>
    <w:rsid w:val="00851C84"/>
    <w:rsid w:val="00861E3E"/>
    <w:rsid w:val="00871B2D"/>
    <w:rsid w:val="008742A0"/>
    <w:rsid w:val="0088135A"/>
    <w:rsid w:val="00881678"/>
    <w:rsid w:val="00882B75"/>
    <w:rsid w:val="0088318E"/>
    <w:rsid w:val="00887A8D"/>
    <w:rsid w:val="00890A67"/>
    <w:rsid w:val="0089482D"/>
    <w:rsid w:val="008957F5"/>
    <w:rsid w:val="008B03BF"/>
    <w:rsid w:val="008B06B3"/>
    <w:rsid w:val="008B0DB6"/>
    <w:rsid w:val="008B2949"/>
    <w:rsid w:val="008B4E85"/>
    <w:rsid w:val="008B5D71"/>
    <w:rsid w:val="008B6066"/>
    <w:rsid w:val="008C0FF5"/>
    <w:rsid w:val="008C722A"/>
    <w:rsid w:val="008D1FD5"/>
    <w:rsid w:val="008D2C70"/>
    <w:rsid w:val="008D2CEE"/>
    <w:rsid w:val="008D345A"/>
    <w:rsid w:val="008D3999"/>
    <w:rsid w:val="008D47C0"/>
    <w:rsid w:val="008D61BB"/>
    <w:rsid w:val="008D7380"/>
    <w:rsid w:val="008F2406"/>
    <w:rsid w:val="008F5AB4"/>
    <w:rsid w:val="0090191F"/>
    <w:rsid w:val="0090468A"/>
    <w:rsid w:val="00905C74"/>
    <w:rsid w:val="009128EC"/>
    <w:rsid w:val="0091452E"/>
    <w:rsid w:val="00914627"/>
    <w:rsid w:val="00922826"/>
    <w:rsid w:val="0092344D"/>
    <w:rsid w:val="009238B5"/>
    <w:rsid w:val="0092772C"/>
    <w:rsid w:val="00931EFE"/>
    <w:rsid w:val="00932F2C"/>
    <w:rsid w:val="009350A0"/>
    <w:rsid w:val="00943845"/>
    <w:rsid w:val="009438CB"/>
    <w:rsid w:val="009454D5"/>
    <w:rsid w:val="009529D4"/>
    <w:rsid w:val="009533BF"/>
    <w:rsid w:val="00954E37"/>
    <w:rsid w:val="00955C0A"/>
    <w:rsid w:val="009560E8"/>
    <w:rsid w:val="0096555D"/>
    <w:rsid w:val="009673E5"/>
    <w:rsid w:val="00967F45"/>
    <w:rsid w:val="00974B82"/>
    <w:rsid w:val="00975C62"/>
    <w:rsid w:val="00981784"/>
    <w:rsid w:val="00995DEE"/>
    <w:rsid w:val="00997B68"/>
    <w:rsid w:val="009B3ECC"/>
    <w:rsid w:val="009B607B"/>
    <w:rsid w:val="009D3BD3"/>
    <w:rsid w:val="009D6057"/>
    <w:rsid w:val="009D6D8B"/>
    <w:rsid w:val="009E218C"/>
    <w:rsid w:val="009E752E"/>
    <w:rsid w:val="009F015B"/>
    <w:rsid w:val="009F5775"/>
    <w:rsid w:val="00A126A1"/>
    <w:rsid w:val="00A13505"/>
    <w:rsid w:val="00A14C4F"/>
    <w:rsid w:val="00A22597"/>
    <w:rsid w:val="00A30D9B"/>
    <w:rsid w:val="00A525A6"/>
    <w:rsid w:val="00A53DC6"/>
    <w:rsid w:val="00A55DE1"/>
    <w:rsid w:val="00A63119"/>
    <w:rsid w:val="00A63DC9"/>
    <w:rsid w:val="00A659F4"/>
    <w:rsid w:val="00A7699E"/>
    <w:rsid w:val="00A82E9E"/>
    <w:rsid w:val="00A848F5"/>
    <w:rsid w:val="00A84C78"/>
    <w:rsid w:val="00A91C4A"/>
    <w:rsid w:val="00A94D13"/>
    <w:rsid w:val="00A96FB4"/>
    <w:rsid w:val="00A973A2"/>
    <w:rsid w:val="00AA05FA"/>
    <w:rsid w:val="00AA3A33"/>
    <w:rsid w:val="00AC69C0"/>
    <w:rsid w:val="00AC7C8E"/>
    <w:rsid w:val="00AD1569"/>
    <w:rsid w:val="00AD7FEF"/>
    <w:rsid w:val="00AE0970"/>
    <w:rsid w:val="00AE1516"/>
    <w:rsid w:val="00AE38B4"/>
    <w:rsid w:val="00AE5417"/>
    <w:rsid w:val="00AE5A35"/>
    <w:rsid w:val="00AF2764"/>
    <w:rsid w:val="00B1625E"/>
    <w:rsid w:val="00B35243"/>
    <w:rsid w:val="00B370AA"/>
    <w:rsid w:val="00B374DA"/>
    <w:rsid w:val="00B42BA8"/>
    <w:rsid w:val="00B512A6"/>
    <w:rsid w:val="00B55C12"/>
    <w:rsid w:val="00B57444"/>
    <w:rsid w:val="00B57B07"/>
    <w:rsid w:val="00B73156"/>
    <w:rsid w:val="00B74270"/>
    <w:rsid w:val="00B85D00"/>
    <w:rsid w:val="00B90392"/>
    <w:rsid w:val="00B9313A"/>
    <w:rsid w:val="00B947B0"/>
    <w:rsid w:val="00B96574"/>
    <w:rsid w:val="00BA3C42"/>
    <w:rsid w:val="00BA64D0"/>
    <w:rsid w:val="00BB0617"/>
    <w:rsid w:val="00BB32F1"/>
    <w:rsid w:val="00BB3FB0"/>
    <w:rsid w:val="00BB6606"/>
    <w:rsid w:val="00BB7C9D"/>
    <w:rsid w:val="00BC068D"/>
    <w:rsid w:val="00BD2BDE"/>
    <w:rsid w:val="00BE65CC"/>
    <w:rsid w:val="00BF22F3"/>
    <w:rsid w:val="00BF7742"/>
    <w:rsid w:val="00C04201"/>
    <w:rsid w:val="00C139C8"/>
    <w:rsid w:val="00C17212"/>
    <w:rsid w:val="00C1733F"/>
    <w:rsid w:val="00C25020"/>
    <w:rsid w:val="00C255F5"/>
    <w:rsid w:val="00C25A9A"/>
    <w:rsid w:val="00C26661"/>
    <w:rsid w:val="00C511CD"/>
    <w:rsid w:val="00C523B5"/>
    <w:rsid w:val="00C52E51"/>
    <w:rsid w:val="00C560C1"/>
    <w:rsid w:val="00C56ABF"/>
    <w:rsid w:val="00C62617"/>
    <w:rsid w:val="00C7590C"/>
    <w:rsid w:val="00C773DC"/>
    <w:rsid w:val="00C870F6"/>
    <w:rsid w:val="00CA72CB"/>
    <w:rsid w:val="00CB386C"/>
    <w:rsid w:val="00CB428F"/>
    <w:rsid w:val="00CB485C"/>
    <w:rsid w:val="00CB5726"/>
    <w:rsid w:val="00CB58F2"/>
    <w:rsid w:val="00CC3823"/>
    <w:rsid w:val="00CC57EB"/>
    <w:rsid w:val="00CC6A1B"/>
    <w:rsid w:val="00CD06E2"/>
    <w:rsid w:val="00CD07E9"/>
    <w:rsid w:val="00CD1A96"/>
    <w:rsid w:val="00CE02C8"/>
    <w:rsid w:val="00CE404C"/>
    <w:rsid w:val="00CE66D3"/>
    <w:rsid w:val="00D06912"/>
    <w:rsid w:val="00D070CB"/>
    <w:rsid w:val="00D15B28"/>
    <w:rsid w:val="00D2344D"/>
    <w:rsid w:val="00D24155"/>
    <w:rsid w:val="00D24FF1"/>
    <w:rsid w:val="00D26BA3"/>
    <w:rsid w:val="00D33751"/>
    <w:rsid w:val="00D37FAD"/>
    <w:rsid w:val="00D41993"/>
    <w:rsid w:val="00D5334A"/>
    <w:rsid w:val="00D542FD"/>
    <w:rsid w:val="00D562E2"/>
    <w:rsid w:val="00D57FC5"/>
    <w:rsid w:val="00D643DF"/>
    <w:rsid w:val="00D64A8D"/>
    <w:rsid w:val="00D6528C"/>
    <w:rsid w:val="00D67803"/>
    <w:rsid w:val="00D84CFB"/>
    <w:rsid w:val="00D853C6"/>
    <w:rsid w:val="00D85DE6"/>
    <w:rsid w:val="00D86110"/>
    <w:rsid w:val="00D9187C"/>
    <w:rsid w:val="00D92BBB"/>
    <w:rsid w:val="00DA3101"/>
    <w:rsid w:val="00DA3FE2"/>
    <w:rsid w:val="00DB37E7"/>
    <w:rsid w:val="00DB4D8C"/>
    <w:rsid w:val="00DC4887"/>
    <w:rsid w:val="00DC6CA5"/>
    <w:rsid w:val="00DC7775"/>
    <w:rsid w:val="00DD068C"/>
    <w:rsid w:val="00DD62CB"/>
    <w:rsid w:val="00DE1997"/>
    <w:rsid w:val="00DE6133"/>
    <w:rsid w:val="00DF2C01"/>
    <w:rsid w:val="00DF3841"/>
    <w:rsid w:val="00E00621"/>
    <w:rsid w:val="00E016C7"/>
    <w:rsid w:val="00E01F14"/>
    <w:rsid w:val="00E021E3"/>
    <w:rsid w:val="00E358A0"/>
    <w:rsid w:val="00E4358F"/>
    <w:rsid w:val="00E45A10"/>
    <w:rsid w:val="00E51491"/>
    <w:rsid w:val="00E562EC"/>
    <w:rsid w:val="00E60D66"/>
    <w:rsid w:val="00E71787"/>
    <w:rsid w:val="00E73501"/>
    <w:rsid w:val="00E75DC8"/>
    <w:rsid w:val="00E76A5E"/>
    <w:rsid w:val="00E778DC"/>
    <w:rsid w:val="00E84A7D"/>
    <w:rsid w:val="00E86C78"/>
    <w:rsid w:val="00E924F2"/>
    <w:rsid w:val="00E93790"/>
    <w:rsid w:val="00E969A8"/>
    <w:rsid w:val="00EB53F2"/>
    <w:rsid w:val="00EB5C7B"/>
    <w:rsid w:val="00ED2A2A"/>
    <w:rsid w:val="00EE041C"/>
    <w:rsid w:val="00EE4536"/>
    <w:rsid w:val="00EF2A12"/>
    <w:rsid w:val="00EF4242"/>
    <w:rsid w:val="00EF436C"/>
    <w:rsid w:val="00F04666"/>
    <w:rsid w:val="00F118F3"/>
    <w:rsid w:val="00F12959"/>
    <w:rsid w:val="00F12F8F"/>
    <w:rsid w:val="00F15772"/>
    <w:rsid w:val="00F223DE"/>
    <w:rsid w:val="00F2526E"/>
    <w:rsid w:val="00F265FF"/>
    <w:rsid w:val="00F35B3A"/>
    <w:rsid w:val="00F50C8B"/>
    <w:rsid w:val="00F56646"/>
    <w:rsid w:val="00F572BC"/>
    <w:rsid w:val="00F62E7B"/>
    <w:rsid w:val="00F63951"/>
    <w:rsid w:val="00F66DCD"/>
    <w:rsid w:val="00F8626F"/>
    <w:rsid w:val="00F92A4E"/>
    <w:rsid w:val="00FA32D8"/>
    <w:rsid w:val="00FB0F42"/>
    <w:rsid w:val="00FB16F7"/>
    <w:rsid w:val="00FD3B54"/>
    <w:rsid w:val="00FD43EF"/>
    <w:rsid w:val="00FD7D42"/>
    <w:rsid w:val="00FE512B"/>
    <w:rsid w:val="00FE7119"/>
    <w:rsid w:val="00FF0FE3"/>
    <w:rsid w:val="00FF363F"/>
    <w:rsid w:val="00FF41E0"/>
    <w:rsid w:val="00FF485F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FB40B"/>
  <w15:chartTrackingRefBased/>
  <w15:docId w15:val="{D2B7CC94-E01D-4F3A-8646-6BFDCD0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DD"/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7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4887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hr-HR"/>
    </w:rPr>
  </w:style>
  <w:style w:type="paragraph" w:styleId="Heading4">
    <w:name w:val="heading 4"/>
    <w:basedOn w:val="Normal"/>
    <w:link w:val="Heading4Char"/>
    <w:uiPriority w:val="9"/>
    <w:qFormat/>
    <w:rsid w:val="006869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666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4666"/>
  </w:style>
  <w:style w:type="paragraph" w:styleId="Footer">
    <w:name w:val="footer"/>
    <w:basedOn w:val="Normal"/>
    <w:link w:val="FooterChar"/>
    <w:uiPriority w:val="99"/>
    <w:unhideWhenUsed/>
    <w:rsid w:val="00F04666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666"/>
  </w:style>
  <w:style w:type="paragraph" w:styleId="NoSpacing">
    <w:name w:val="No Spacing"/>
    <w:link w:val="NoSpacingChar"/>
    <w:uiPriority w:val="1"/>
    <w:qFormat/>
    <w:rsid w:val="00773201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3201"/>
    <w:rPr>
      <w:rFonts w:eastAsiaTheme="minorEastAsia"/>
      <w:lang w:val="en-US"/>
    </w:rPr>
  </w:style>
  <w:style w:type="table" w:styleId="TableGrid">
    <w:name w:val="Table Grid"/>
    <w:basedOn w:val="TableNormal"/>
    <w:rsid w:val="007732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74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97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8697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15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0A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67B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nhideWhenUsed/>
    <w:rsid w:val="00767B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67B6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9451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bs-Latn-BA" w:eastAsia="bs-Latn-BA" w:bidi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4513"/>
    <w:rPr>
      <w:rFonts w:ascii="Times New Roman" w:eastAsia="Times New Roman" w:hAnsi="Times New Roman" w:cs="Times New Roman"/>
      <w:color w:val="000000"/>
      <w:sz w:val="20"/>
      <w:szCs w:val="20"/>
      <w:lang w:val="bs-Latn-BA" w:eastAsia="bs-Latn-BA" w:bidi="bs-Latn-BA"/>
    </w:rPr>
  </w:style>
  <w:style w:type="paragraph" w:styleId="BodyText">
    <w:name w:val="Body Text"/>
    <w:basedOn w:val="Normal"/>
    <w:link w:val="BodyTextChar"/>
    <w:unhideWhenUsed/>
    <w:rsid w:val="0079451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79451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Corpsdutexte">
    <w:name w:val="Corps du texte_"/>
    <w:link w:val="Corpsdutexte1"/>
    <w:locked/>
    <w:rsid w:val="00794513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794513"/>
    <w:pPr>
      <w:widowControl w:val="0"/>
      <w:shd w:val="clear" w:color="auto" w:fill="FFFFFF"/>
      <w:spacing w:before="240" w:after="240" w:line="274" w:lineRule="exact"/>
      <w:ind w:hanging="380"/>
    </w:pPr>
    <w:rPr>
      <w:rFonts w:asciiTheme="minorHAnsi" w:hAnsiTheme="minorHAnsi" w:cstheme="minorBidi"/>
      <w:sz w:val="23"/>
      <w:szCs w:val="23"/>
      <w:lang w:val="en-GB"/>
    </w:rPr>
  </w:style>
  <w:style w:type="paragraph" w:styleId="ListParagraph">
    <w:name w:val="List Paragraph"/>
    <w:basedOn w:val="Normal"/>
    <w:uiPriority w:val="34"/>
    <w:qFormat/>
    <w:rsid w:val="008B60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562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EC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EC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48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C4887"/>
    <w:rPr>
      <w:rFonts w:ascii="Calibri Light" w:eastAsia="Times New Roman" w:hAnsi="Calibri Light" w:cs="Times New Roman"/>
      <w:b/>
      <w:bCs/>
      <w:sz w:val="26"/>
      <w:szCs w:val="26"/>
      <w:lang w:val="hr-HR"/>
    </w:rPr>
  </w:style>
  <w:style w:type="paragraph" w:styleId="BodyTextIndent2">
    <w:name w:val="Body Text Indent 2"/>
    <w:aliases w:val="  uvlaka 2"/>
    <w:basedOn w:val="Normal"/>
    <w:link w:val="BodyTextIndent2Char"/>
    <w:rsid w:val="00DC4887"/>
    <w:pPr>
      <w:spacing w:after="0"/>
      <w:ind w:right="-625" w:firstLine="72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DC488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DocumentMap">
    <w:name w:val="Document Map"/>
    <w:basedOn w:val="Normal"/>
    <w:link w:val="DocumentMapChar"/>
    <w:semiHidden/>
    <w:rsid w:val="00DC4887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DC4887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PageNumber">
    <w:name w:val="page number"/>
    <w:basedOn w:val="DefaultParagraphFont"/>
    <w:rsid w:val="00DC4887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4887"/>
    <w:pPr>
      <w:pBdr>
        <w:top w:val="single" w:sz="4" w:space="10" w:color="5B9BD5"/>
        <w:bottom w:val="single" w:sz="4" w:space="10" w:color="5B9BD5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iCs/>
      <w:color w:val="5B9BD5"/>
      <w:sz w:val="24"/>
      <w:szCs w:val="20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887"/>
    <w:rPr>
      <w:rFonts w:ascii="Times New Roman" w:eastAsia="Times New Roman" w:hAnsi="Times New Roman" w:cs="Times New Roman"/>
      <w:i/>
      <w:iCs/>
      <w:color w:val="5B9BD5"/>
      <w:sz w:val="24"/>
      <w:szCs w:val="20"/>
      <w:lang w:val="hr-HR"/>
    </w:rPr>
  </w:style>
  <w:style w:type="paragraph" w:styleId="Revision">
    <w:name w:val="Revision"/>
    <w:hidden/>
    <w:uiPriority w:val="99"/>
    <w:semiHidden/>
    <w:rsid w:val="00DC4887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DC4887"/>
    <w:pPr>
      <w:spacing w:line="259" w:lineRule="auto"/>
      <w:jc w:val="left"/>
      <w:outlineLvl w:val="9"/>
    </w:pPr>
    <w:rPr>
      <w:rFonts w:ascii="Calibri Light" w:eastAsia="Times New Roman" w:hAnsi="Calibri Light" w:cs="Times New Roman"/>
      <w:color w:val="2E74B5"/>
    </w:rPr>
  </w:style>
  <w:style w:type="paragraph" w:styleId="TOC1">
    <w:name w:val="toc 1"/>
    <w:basedOn w:val="Normal"/>
    <w:next w:val="Normal"/>
    <w:autoRedefine/>
    <w:uiPriority w:val="39"/>
    <w:rsid w:val="00F62E7B"/>
    <w:pPr>
      <w:tabs>
        <w:tab w:val="right" w:leader="dot" w:pos="887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yle1">
    <w:name w:val="Style1"/>
    <w:basedOn w:val="Heading2"/>
    <w:link w:val="Style1Char"/>
    <w:qFormat/>
    <w:rsid w:val="00DC4887"/>
    <w:pPr>
      <w:keepLines w:val="0"/>
      <w:overflowPunct w:val="0"/>
      <w:autoSpaceDE w:val="0"/>
      <w:autoSpaceDN w:val="0"/>
      <w:adjustRightInd w:val="0"/>
      <w:spacing w:before="240" w:after="60"/>
      <w:jc w:val="left"/>
      <w:textAlignment w:val="baseline"/>
    </w:pPr>
    <w:rPr>
      <w:rFonts w:ascii="Times New Roman" w:eastAsia="Times New Roman" w:hAnsi="Times New Roman" w:cs="Times New Roman"/>
      <w:bCs/>
      <w:iCs/>
      <w:color w:val="auto"/>
      <w:sz w:val="24"/>
      <w:szCs w:val="28"/>
      <w:lang w:val="bs-Latn-BA"/>
    </w:rPr>
  </w:style>
  <w:style w:type="paragraph" w:styleId="TOC2">
    <w:name w:val="toc 2"/>
    <w:basedOn w:val="Normal"/>
    <w:next w:val="Normal"/>
    <w:autoRedefine/>
    <w:uiPriority w:val="39"/>
    <w:rsid w:val="00DC4887"/>
    <w:pPr>
      <w:overflowPunct w:val="0"/>
      <w:autoSpaceDE w:val="0"/>
      <w:autoSpaceDN w:val="0"/>
      <w:adjustRightInd w:val="0"/>
      <w:spacing w:after="0"/>
      <w:ind w:left="24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Style1Char">
    <w:name w:val="Style1 Char"/>
    <w:link w:val="Style1"/>
    <w:rsid w:val="00DC4887"/>
    <w:rPr>
      <w:rFonts w:ascii="Times New Roman" w:eastAsia="Times New Roman" w:hAnsi="Times New Roman" w:cs="Times New Roman"/>
      <w:bCs/>
      <w:iCs/>
      <w:sz w:val="24"/>
      <w:szCs w:val="28"/>
      <w:lang w:val="bs-Latn-BA"/>
    </w:rPr>
  </w:style>
  <w:style w:type="paragraph" w:customStyle="1" w:styleId="Style2">
    <w:name w:val="Style2"/>
    <w:basedOn w:val="Heading3"/>
    <w:link w:val="Style2Char"/>
    <w:qFormat/>
    <w:rsid w:val="00DC4887"/>
    <w:rPr>
      <w:rFonts w:ascii="Times New Roman" w:hAnsi="Times New Roman"/>
      <w:b w:val="0"/>
      <w:bCs w:val="0"/>
      <w:iCs/>
      <w:sz w:val="24"/>
      <w:szCs w:val="24"/>
      <w:lang w:val="bs-Latn-BA"/>
    </w:rPr>
  </w:style>
  <w:style w:type="paragraph" w:styleId="TOC3">
    <w:name w:val="toc 3"/>
    <w:basedOn w:val="Normal"/>
    <w:next w:val="Normal"/>
    <w:autoRedefine/>
    <w:uiPriority w:val="39"/>
    <w:rsid w:val="00DC4887"/>
    <w:pPr>
      <w:overflowPunct w:val="0"/>
      <w:autoSpaceDE w:val="0"/>
      <w:autoSpaceDN w:val="0"/>
      <w:adjustRightInd w:val="0"/>
      <w:spacing w:after="0"/>
      <w:ind w:left="4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Style2Char">
    <w:name w:val="Style2 Char"/>
    <w:link w:val="Style2"/>
    <w:rsid w:val="00DC4887"/>
    <w:rPr>
      <w:rFonts w:ascii="Times New Roman" w:eastAsia="Times New Roman" w:hAnsi="Times New Roman" w:cs="Times New Roman"/>
      <w:iCs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7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6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6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k.ba" TargetMode="External"/><Relationship Id="rId1" Type="http://schemas.openxmlformats.org/officeDocument/2006/relationships/hyperlink" Target="mailto:kontakt@ferk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6A8B-2444-40BD-99AA-95D460F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Pobric</dc:creator>
  <cp:keywords/>
  <dc:description/>
  <cp:lastModifiedBy>Nerma Ibrulj</cp:lastModifiedBy>
  <cp:revision>41</cp:revision>
  <cp:lastPrinted>2021-11-08T10:21:00Z</cp:lastPrinted>
  <dcterms:created xsi:type="dcterms:W3CDTF">2021-11-08T10:18:00Z</dcterms:created>
  <dcterms:modified xsi:type="dcterms:W3CDTF">2021-11-12T08:48:00Z</dcterms:modified>
</cp:coreProperties>
</file>